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9B5D" w14:textId="77777777" w:rsidR="00190A7A" w:rsidRDefault="00000000">
      <w:pPr>
        <w:jc w:val="center"/>
        <w:rPr>
          <w:b/>
          <w:sz w:val="28"/>
          <w:szCs w:val="28"/>
        </w:rPr>
      </w:pPr>
      <w:r>
        <w:rPr>
          <w:b/>
          <w:sz w:val="28"/>
          <w:szCs w:val="28"/>
        </w:rPr>
        <w:t>Regulatory Requirements for Transferring Clinical Studies between Principal Investigators</w:t>
      </w:r>
    </w:p>
    <w:p w14:paraId="03CF157B" w14:textId="77777777" w:rsidR="00190A7A" w:rsidRDefault="00190A7A"/>
    <w:p w14:paraId="3A77C93B" w14:textId="77777777" w:rsidR="00190A7A" w:rsidRDefault="00000000">
      <w:r>
        <w:t>This guidance is intended to guide the new principal investigator (PI) on what needs to occur when a clinical study transitions to a different PI.  This guidance document doesn’t include any financial or contractual documentation that may need to change.  Please contact your research administrator for information on your financial or contractual documentation needed.</w:t>
      </w:r>
    </w:p>
    <w:p w14:paraId="206FA318" w14:textId="77777777" w:rsidR="00190A7A" w:rsidRDefault="00190A7A"/>
    <w:p w14:paraId="75D08E35" w14:textId="77777777" w:rsidR="00190A7A" w:rsidRDefault="00000000">
      <w:r>
        <w:t>Documentation/actions for all studies:</w:t>
      </w:r>
    </w:p>
    <w:p w14:paraId="5CEC73D3" w14:textId="6225C13C" w:rsidR="00190A7A" w:rsidRDefault="00111A8F" w:rsidP="00111A8F">
      <w:pPr>
        <w:ind w:left="360"/>
      </w:pPr>
      <w:r>
        <w:rPr>
          <w:highlight w:val="lightGray"/>
        </w:rPr>
        <w:fldChar w:fldCharType="begin">
          <w:ffData>
            <w:name w:val="Check1"/>
            <w:enabled/>
            <w:calcOnExit w:val="0"/>
            <w:checkBox>
              <w:sizeAuto/>
              <w:default w:val="0"/>
            </w:checkBox>
          </w:ffData>
        </w:fldChar>
      </w:r>
      <w:bookmarkStart w:id="0" w:name="Check1"/>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0"/>
      <w:r>
        <w:t xml:space="preserve"> Sponsor approval prior to initiating the change (for industry or federal-funded studies)</w:t>
      </w:r>
    </w:p>
    <w:p w14:paraId="76244722" w14:textId="2D3362CD" w:rsidR="00190A7A" w:rsidRDefault="00111A8F" w:rsidP="00111A8F">
      <w:pPr>
        <w:ind w:left="360"/>
      </w:pPr>
      <w:r>
        <w:rPr>
          <w:highlight w:val="lightGray"/>
        </w:rPr>
        <w:fldChar w:fldCharType="begin">
          <w:ffData>
            <w:name w:val="Check2"/>
            <w:enabled/>
            <w:calcOnExit w:val="0"/>
            <w:checkBox>
              <w:sizeAuto/>
              <w:default w:val="0"/>
            </w:checkBox>
          </w:ffData>
        </w:fldChar>
      </w:r>
      <w:bookmarkStart w:id="1" w:name="Check2"/>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
      <w:r>
        <w:t xml:space="preserve"> Amendment to IRB- This must be submitted and approved</w:t>
      </w:r>
    </w:p>
    <w:p w14:paraId="68C9C940" w14:textId="77777777" w:rsidR="00190A7A" w:rsidRDefault="00000000">
      <w:pPr>
        <w:numPr>
          <w:ilvl w:val="1"/>
          <w:numId w:val="3"/>
        </w:numPr>
      </w:pPr>
      <w:r>
        <w:t>This should include updating the informed consent if the study is still open to accrual or if there is a possibility of needing to re-consent participants.  If the study is closed to accrual and all participants are off study, the informed consent doesn’t need to be updated but this should be documented that the consent isn’t being revised due to this.</w:t>
      </w:r>
    </w:p>
    <w:p w14:paraId="203A9DA7" w14:textId="7559C86A" w:rsidR="00190A7A" w:rsidRDefault="00111A8F" w:rsidP="00111A8F">
      <w:pPr>
        <w:ind w:left="360"/>
      </w:pPr>
      <w:r>
        <w:rPr>
          <w:highlight w:val="lightGray"/>
        </w:rPr>
        <w:fldChar w:fldCharType="begin">
          <w:ffData>
            <w:name w:val="Check3"/>
            <w:enabled/>
            <w:calcOnExit w:val="0"/>
            <w:checkBox>
              <w:sizeAuto/>
              <w:default w:val="0"/>
            </w:checkBox>
          </w:ffData>
        </w:fldChar>
      </w:r>
      <w:bookmarkStart w:id="2" w:name="Check3"/>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2"/>
      <w:r>
        <w:t xml:space="preserve"> Confirm the location of where all study documents are being maintained and gain access to the EDC system being used.</w:t>
      </w:r>
    </w:p>
    <w:p w14:paraId="03BEDDBF" w14:textId="3868AD75" w:rsidR="00190A7A" w:rsidRDefault="00111A8F" w:rsidP="00111A8F">
      <w:pPr>
        <w:ind w:left="360"/>
      </w:pPr>
      <w:r>
        <w:rPr>
          <w:highlight w:val="lightGray"/>
        </w:rPr>
        <w:fldChar w:fldCharType="begin">
          <w:ffData>
            <w:name w:val="Check4"/>
            <w:enabled/>
            <w:calcOnExit w:val="0"/>
            <w:checkBox>
              <w:sizeAuto/>
              <w:default w:val="0"/>
            </w:checkBox>
          </w:ffData>
        </w:fldChar>
      </w:r>
      <w:bookmarkStart w:id="3" w:name="Check4"/>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3"/>
      <w:r>
        <w:t xml:space="preserve"> Complete study required training (obtain training documentation) for new PI</w:t>
      </w:r>
    </w:p>
    <w:p w14:paraId="4C4DA634" w14:textId="47E57CB2" w:rsidR="00190A7A" w:rsidRDefault="00111A8F" w:rsidP="00111A8F">
      <w:pPr>
        <w:ind w:left="360"/>
      </w:pPr>
      <w:r>
        <w:rPr>
          <w:highlight w:val="lightGray"/>
        </w:rPr>
        <w:fldChar w:fldCharType="begin">
          <w:ffData>
            <w:name w:val="Check5"/>
            <w:enabled/>
            <w:calcOnExit w:val="0"/>
            <w:checkBox>
              <w:sizeAuto/>
              <w:default w:val="0"/>
            </w:checkBox>
          </w:ffData>
        </w:fldChar>
      </w:r>
      <w:bookmarkStart w:id="4" w:name="Check5"/>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4"/>
      <w:r>
        <w:t xml:space="preserve"> Update the delegation of authority (DOA) log to show that the investigator is now PI and add the end date of old PI</w:t>
      </w:r>
    </w:p>
    <w:p w14:paraId="59EDED1C" w14:textId="77777777" w:rsidR="00190A7A" w:rsidRDefault="00000000">
      <w:pPr>
        <w:numPr>
          <w:ilvl w:val="1"/>
          <w:numId w:val="3"/>
        </w:numPr>
      </w:pPr>
      <w:r>
        <w:t>If the new PI was previously a sub-investigator (sub-I), the investigator's end date for being a sub-I should be the same date as their start date as PI</w:t>
      </w:r>
    </w:p>
    <w:p w14:paraId="17AE2B4F" w14:textId="77777777" w:rsidR="00190A7A" w:rsidRDefault="00000000">
      <w:pPr>
        <w:numPr>
          <w:ilvl w:val="1"/>
          <w:numId w:val="3"/>
        </w:numPr>
      </w:pPr>
      <w:r>
        <w:t>If the new PI wasn’t previously on the study, they should complete study training prior to being added to the DOA</w:t>
      </w:r>
    </w:p>
    <w:p w14:paraId="0FC02AE7" w14:textId="39563819" w:rsidR="00190A7A" w:rsidRDefault="00111A8F" w:rsidP="00111A8F">
      <w:pPr>
        <w:ind w:left="360"/>
      </w:pPr>
      <w:r>
        <w:rPr>
          <w:highlight w:val="lightGray"/>
        </w:rPr>
        <w:fldChar w:fldCharType="begin">
          <w:ffData>
            <w:name w:val="Check6"/>
            <w:enabled/>
            <w:calcOnExit w:val="0"/>
            <w:checkBox>
              <w:sizeAuto/>
              <w:default w:val="0"/>
            </w:checkBox>
          </w:ffData>
        </w:fldChar>
      </w:r>
      <w:bookmarkStart w:id="5" w:name="Check6"/>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5"/>
      <w:r>
        <w:t xml:space="preserve"> Collect new PI’s CV, ML, GCP and HSP certificates if not previously collected on study</w:t>
      </w:r>
    </w:p>
    <w:p w14:paraId="5A3A920B" w14:textId="13D810C8" w:rsidR="00190A7A" w:rsidRDefault="00111A8F" w:rsidP="00111A8F">
      <w:pPr>
        <w:ind w:left="360"/>
      </w:pPr>
      <w:r>
        <w:rPr>
          <w:highlight w:val="lightGray"/>
        </w:rPr>
        <w:fldChar w:fldCharType="begin">
          <w:ffData>
            <w:name w:val="Check7"/>
            <w:enabled/>
            <w:calcOnExit w:val="0"/>
            <w:checkBox>
              <w:sizeAuto/>
              <w:default w:val="0"/>
            </w:checkBox>
          </w:ffData>
        </w:fldChar>
      </w:r>
      <w:bookmarkStart w:id="6" w:name="Check7"/>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6"/>
      <w:r>
        <w:t xml:space="preserve"> New protocol signature page for current protocol version</w:t>
      </w:r>
    </w:p>
    <w:p w14:paraId="14019DB2" w14:textId="1DD81346" w:rsidR="00190A7A" w:rsidRDefault="00111A8F" w:rsidP="00111A8F">
      <w:pPr>
        <w:ind w:left="360"/>
      </w:pPr>
      <w:r>
        <w:rPr>
          <w:highlight w:val="lightGray"/>
        </w:rPr>
        <w:fldChar w:fldCharType="begin">
          <w:ffData>
            <w:name w:val="Check8"/>
            <w:enabled/>
            <w:calcOnExit w:val="0"/>
            <w:checkBox>
              <w:sizeAuto/>
              <w:default w:val="0"/>
            </w:checkBox>
          </w:ffData>
        </w:fldChar>
      </w:r>
      <w:bookmarkStart w:id="7" w:name="Check8"/>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7"/>
      <w:r>
        <w:t xml:space="preserve"> Updated financial disclosure form (if financial disclosure form specifies investigator’s role)</w:t>
      </w:r>
    </w:p>
    <w:p w14:paraId="1D0B6625" w14:textId="603913D1" w:rsidR="00190A7A" w:rsidRDefault="003449FE" w:rsidP="003449FE">
      <w:pPr>
        <w:ind w:left="360"/>
      </w:pPr>
      <w:r>
        <w:rPr>
          <w:highlight w:val="lightGray"/>
        </w:rPr>
        <w:fldChar w:fldCharType="begin">
          <w:ffData>
            <w:name w:val="Check9"/>
            <w:enabled/>
            <w:calcOnExit w:val="0"/>
            <w:checkBox>
              <w:sizeAuto/>
              <w:default w:val="0"/>
            </w:checkBox>
          </w:ffData>
        </w:fldChar>
      </w:r>
      <w:bookmarkStart w:id="8" w:name="Check9"/>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8"/>
      <w:r>
        <w:t xml:space="preserve"> Submissions to all applicable ancillary committees (ex: IBC, PROC, PRMC) notifying them of PI change as applicable</w:t>
      </w:r>
    </w:p>
    <w:p w14:paraId="595A60EC" w14:textId="5EE91B2F" w:rsidR="00190A7A" w:rsidRDefault="003449FE" w:rsidP="003449FE">
      <w:pPr>
        <w:ind w:left="360"/>
      </w:pPr>
      <w:r>
        <w:rPr>
          <w:highlight w:val="lightGray"/>
        </w:rPr>
        <w:fldChar w:fldCharType="begin">
          <w:ffData>
            <w:name w:val="Check10"/>
            <w:enabled/>
            <w:calcOnExit w:val="0"/>
            <w:checkBox>
              <w:sizeAuto/>
              <w:default w:val="0"/>
            </w:checkBox>
          </w:ffData>
        </w:fldChar>
      </w:r>
      <w:bookmarkStart w:id="9" w:name="Check10"/>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9"/>
      <w:r>
        <w:t xml:space="preserve"> Update </w:t>
      </w:r>
      <w:proofErr w:type="spellStart"/>
      <w:r>
        <w:t>OnCore</w:t>
      </w:r>
      <w:proofErr w:type="spellEnd"/>
      <w:r>
        <w:t xml:space="preserve"> when PI change has been IRB approved</w:t>
      </w:r>
    </w:p>
    <w:p w14:paraId="7B452282" w14:textId="77777777" w:rsidR="00190A7A" w:rsidRDefault="00190A7A"/>
    <w:p w14:paraId="2649E132" w14:textId="77777777" w:rsidR="00190A7A" w:rsidRDefault="00000000">
      <w:r>
        <w:t>Documentation/actions specific to drug studies:</w:t>
      </w:r>
    </w:p>
    <w:p w14:paraId="7B50FA53" w14:textId="4F2AC509" w:rsidR="00190A7A" w:rsidRDefault="003449FE" w:rsidP="003449FE">
      <w:pPr>
        <w:ind w:left="360"/>
      </w:pPr>
      <w:r>
        <w:rPr>
          <w:highlight w:val="lightGray"/>
        </w:rPr>
        <w:fldChar w:fldCharType="begin">
          <w:ffData>
            <w:name w:val="Check11"/>
            <w:enabled/>
            <w:calcOnExit w:val="0"/>
            <w:checkBox>
              <w:sizeAuto/>
              <w:default w:val="0"/>
            </w:checkBox>
          </w:ffData>
        </w:fldChar>
      </w:r>
      <w:bookmarkStart w:id="10" w:name="Check11"/>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0"/>
      <w:r>
        <w:t xml:space="preserve"> New 1572 </w:t>
      </w:r>
    </w:p>
    <w:p w14:paraId="6CA04713" w14:textId="2FB81731" w:rsidR="00190A7A" w:rsidRDefault="003449FE" w:rsidP="003449FE">
      <w:pPr>
        <w:ind w:left="360"/>
      </w:pPr>
      <w:r>
        <w:rPr>
          <w:highlight w:val="lightGray"/>
        </w:rPr>
        <w:fldChar w:fldCharType="begin">
          <w:ffData>
            <w:name w:val="Check12"/>
            <w:enabled/>
            <w:calcOnExit w:val="0"/>
            <w:checkBox>
              <w:sizeAuto/>
              <w:default w:val="0"/>
            </w:checkBox>
          </w:ffData>
        </w:fldChar>
      </w:r>
      <w:bookmarkStart w:id="11" w:name="Check12"/>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1"/>
      <w:r>
        <w:t xml:space="preserve"> New investigator brochure (IB) signature page for current IB version</w:t>
      </w:r>
    </w:p>
    <w:p w14:paraId="5BD386BB" w14:textId="509A7564" w:rsidR="00190A7A" w:rsidRDefault="003449FE" w:rsidP="003449FE">
      <w:pPr>
        <w:ind w:left="360"/>
      </w:pPr>
      <w:r>
        <w:rPr>
          <w:highlight w:val="lightGray"/>
        </w:rPr>
        <w:fldChar w:fldCharType="begin">
          <w:ffData>
            <w:name w:val="Check13"/>
            <w:enabled/>
            <w:calcOnExit w:val="0"/>
            <w:checkBox>
              <w:sizeAuto/>
              <w:default w:val="0"/>
            </w:checkBox>
          </w:ffData>
        </w:fldChar>
      </w:r>
      <w:bookmarkStart w:id="12" w:name="Check13"/>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2"/>
      <w:r>
        <w:t xml:space="preserve"> Notify investigational pharmacy of PI change</w:t>
      </w:r>
    </w:p>
    <w:p w14:paraId="5CE4A440" w14:textId="77777777" w:rsidR="00190A7A" w:rsidRDefault="00000000">
      <w:pPr>
        <w:numPr>
          <w:ilvl w:val="1"/>
          <w:numId w:val="3"/>
        </w:numPr>
      </w:pPr>
      <w:r>
        <w:t>Email IRB approval memo of change to</w:t>
      </w:r>
      <w:r>
        <w:rPr>
          <w:color w:val="4472C4"/>
        </w:rPr>
        <w:t xml:space="preserve"> </w:t>
      </w:r>
      <w:r>
        <w:rPr>
          <w:i/>
          <w:color w:val="1155CC"/>
          <w:u w:val="single"/>
        </w:rPr>
        <w:t>investigational.drug@vcuhealth.org</w:t>
      </w:r>
      <w:r>
        <w:rPr>
          <w:i/>
          <w:color w:val="222222"/>
        </w:rPr>
        <w:t xml:space="preserve"> </w:t>
      </w:r>
    </w:p>
    <w:p w14:paraId="4A7E0FCE" w14:textId="77777777" w:rsidR="00190A7A" w:rsidRDefault="00190A7A"/>
    <w:p w14:paraId="61312288" w14:textId="77777777" w:rsidR="00190A7A" w:rsidRDefault="00000000">
      <w:r>
        <w:t>Documentation specific to device studies:</w:t>
      </w:r>
    </w:p>
    <w:p w14:paraId="3506AD4C" w14:textId="6B1B159E" w:rsidR="00190A7A" w:rsidRDefault="003449FE" w:rsidP="003449FE">
      <w:pPr>
        <w:ind w:left="360"/>
      </w:pPr>
      <w:r>
        <w:rPr>
          <w:highlight w:val="lightGray"/>
        </w:rPr>
        <w:fldChar w:fldCharType="begin">
          <w:ffData>
            <w:name w:val="Check14"/>
            <w:enabled/>
            <w:calcOnExit w:val="0"/>
            <w:checkBox>
              <w:sizeAuto/>
              <w:default w:val="0"/>
            </w:checkBox>
          </w:ffData>
        </w:fldChar>
      </w:r>
      <w:bookmarkStart w:id="13" w:name="Check14"/>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3"/>
      <w:r>
        <w:t xml:space="preserve"> New investigator agreement </w:t>
      </w:r>
    </w:p>
    <w:p w14:paraId="5C331A0B" w14:textId="77777777" w:rsidR="00190A7A" w:rsidRDefault="00190A7A"/>
    <w:p w14:paraId="2F7B053E" w14:textId="77777777" w:rsidR="00190A7A" w:rsidRDefault="00000000">
      <w:r>
        <w:t>Documentation specific to VCU-held IND/IDE studies:</w:t>
      </w:r>
    </w:p>
    <w:p w14:paraId="1D84EEEC" w14:textId="596BA60A" w:rsidR="00190A7A" w:rsidRDefault="003449FE" w:rsidP="003449FE">
      <w:pPr>
        <w:ind w:left="360"/>
      </w:pPr>
      <w:r>
        <w:rPr>
          <w:highlight w:val="lightGray"/>
        </w:rPr>
        <w:lastRenderedPageBreak/>
        <w:fldChar w:fldCharType="begin">
          <w:ffData>
            <w:name w:val="Check15"/>
            <w:enabled/>
            <w:calcOnExit w:val="0"/>
            <w:checkBox>
              <w:sizeAuto/>
              <w:default w:val="0"/>
            </w:checkBox>
          </w:ffData>
        </w:fldChar>
      </w:r>
      <w:bookmarkStart w:id="14" w:name="Check15"/>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4"/>
      <w:r>
        <w:t xml:space="preserve"> FDA submission to alert them of PI change</w:t>
      </w:r>
    </w:p>
    <w:p w14:paraId="0FCE8D95" w14:textId="77777777" w:rsidR="00190A7A" w:rsidRDefault="00000000">
      <w:pPr>
        <w:numPr>
          <w:ilvl w:val="1"/>
          <w:numId w:val="2"/>
        </w:numPr>
      </w:pPr>
      <w:r>
        <w:t>New 1572 (for IND studies)</w:t>
      </w:r>
    </w:p>
    <w:p w14:paraId="021A494D" w14:textId="77777777" w:rsidR="00190A7A" w:rsidRDefault="00000000">
      <w:pPr>
        <w:numPr>
          <w:ilvl w:val="1"/>
          <w:numId w:val="2"/>
        </w:numPr>
      </w:pPr>
      <w:r>
        <w:t>If the IND/IDE holder is changing, additional documentation needs to be submitted to the FDA.  This would include letters from the old and new IND holder transferring and accepting responsibilities of the IND/IDE</w:t>
      </w:r>
    </w:p>
    <w:p w14:paraId="457ABCFB" w14:textId="77777777" w:rsidR="00190A7A" w:rsidRDefault="00190A7A"/>
    <w:p w14:paraId="10B0B0E5" w14:textId="77777777" w:rsidR="00190A7A" w:rsidRDefault="00000000">
      <w:r>
        <w:t>Action specific to investigator-initiated studies:</w:t>
      </w:r>
    </w:p>
    <w:p w14:paraId="657F0526" w14:textId="6B97B366" w:rsidR="00190A7A" w:rsidRDefault="003449FE" w:rsidP="003449FE">
      <w:pPr>
        <w:ind w:left="360"/>
      </w:pPr>
      <w:r>
        <w:rPr>
          <w:highlight w:val="lightGray"/>
        </w:rPr>
        <w:fldChar w:fldCharType="begin">
          <w:ffData>
            <w:name w:val="Check16"/>
            <w:enabled/>
            <w:calcOnExit w:val="0"/>
            <w:checkBox>
              <w:sizeAuto/>
              <w:default w:val="0"/>
            </w:checkBox>
          </w:ffData>
        </w:fldChar>
      </w:r>
      <w:bookmarkStart w:id="15" w:name="Check16"/>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5"/>
      <w:r>
        <w:t xml:space="preserve"> Update clinicaltrials.gov record</w:t>
      </w:r>
    </w:p>
    <w:p w14:paraId="54F57957" w14:textId="77777777" w:rsidR="00190A7A" w:rsidRDefault="00190A7A"/>
    <w:p w14:paraId="683CE614" w14:textId="77777777" w:rsidR="00190A7A" w:rsidRDefault="00000000">
      <w:r>
        <w:t>It is ultimately the new PI’s responsibility to review the documentation previously collected under the previous PI to ensure the accuracy of the collected documentation and that any reportable events were reported.</w:t>
      </w:r>
    </w:p>
    <w:p w14:paraId="0353878D" w14:textId="77777777" w:rsidR="00190A7A" w:rsidRDefault="00000000">
      <w:pPr>
        <w:spacing w:before="240" w:after="240"/>
        <w:rPr>
          <w:b/>
          <w:u w:val="single"/>
        </w:rPr>
      </w:pPr>
      <w:r>
        <w:rPr>
          <w:b/>
          <w:u w:val="single"/>
        </w:rPr>
        <w:t>Contact</w:t>
      </w:r>
    </w:p>
    <w:p w14:paraId="3683F07C" w14:textId="77777777" w:rsidR="00190A7A" w:rsidRDefault="00000000">
      <w:pPr>
        <w:spacing w:before="240" w:after="240"/>
      </w:pPr>
      <w:r>
        <w:t>Please contact for questions regarding this document:</w:t>
      </w:r>
    </w:p>
    <w:p w14:paraId="7EAD8ABB" w14:textId="77777777" w:rsidR="00190A7A" w:rsidRDefault="00000000">
      <w:pPr>
        <w:keepLines/>
        <w:spacing w:line="240" w:lineRule="auto"/>
      </w:pPr>
      <w:r>
        <w:t>OVPRI Regulatory Affairs</w:t>
      </w:r>
    </w:p>
    <w:p w14:paraId="62B015ED" w14:textId="77777777" w:rsidR="00190A7A" w:rsidRDefault="00000000">
      <w:pPr>
        <w:keepLines/>
        <w:spacing w:line="240" w:lineRule="auto"/>
      </w:pPr>
      <w:r>
        <w:t>indide@vcu.edu</w:t>
      </w:r>
    </w:p>
    <w:p w14:paraId="184617D1" w14:textId="77777777" w:rsidR="00190A7A" w:rsidRDefault="00190A7A">
      <w:pPr>
        <w:keepLines/>
        <w:spacing w:line="240" w:lineRule="auto"/>
      </w:pPr>
    </w:p>
    <w:p w14:paraId="540C63EC" w14:textId="77777777" w:rsidR="00190A7A" w:rsidRDefault="00000000">
      <w:pPr>
        <w:keepLines/>
        <w:spacing w:line="240" w:lineRule="auto"/>
        <w:rPr>
          <w:u w:val="single"/>
        </w:rPr>
      </w:pPr>
      <w:r>
        <w:rPr>
          <w:b/>
          <w:u w:val="single"/>
        </w:rPr>
        <w:t>Document History</w:t>
      </w:r>
    </w:p>
    <w:p w14:paraId="7A623B02" w14:textId="77777777" w:rsidR="00190A7A" w:rsidRDefault="00190A7A">
      <w:pPr>
        <w:keepLines/>
        <w:spacing w:line="240" w:lineRule="auto"/>
      </w:pPr>
    </w:p>
    <w:p w14:paraId="257EB99C" w14:textId="77777777" w:rsidR="00190A7A" w:rsidRDefault="00190A7A">
      <w:pPr>
        <w:keepLines/>
        <w:spacing w:line="240" w:lineRule="auto"/>
      </w:pPr>
    </w:p>
    <w:tbl>
      <w:tblPr>
        <w:tblStyle w:val="a"/>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795"/>
      </w:tblGrid>
      <w:tr w:rsidR="00190A7A" w14:paraId="31AE6991" w14:textId="77777777" w:rsidTr="00356C79">
        <w:tc>
          <w:tcPr>
            <w:tcW w:w="3120" w:type="dxa"/>
            <w:shd w:val="clear" w:color="auto" w:fill="D9D9D9"/>
            <w:tcMar>
              <w:top w:w="100" w:type="dxa"/>
              <w:left w:w="100" w:type="dxa"/>
              <w:bottom w:w="100" w:type="dxa"/>
              <w:right w:w="100" w:type="dxa"/>
            </w:tcMar>
          </w:tcPr>
          <w:p w14:paraId="09A34F25" w14:textId="77777777" w:rsidR="00190A7A" w:rsidRDefault="00000000">
            <w:pPr>
              <w:widowControl w:val="0"/>
              <w:spacing w:line="240" w:lineRule="auto"/>
              <w:rPr>
                <w:b/>
              </w:rPr>
            </w:pPr>
            <w:r>
              <w:rPr>
                <w:b/>
              </w:rPr>
              <w:t>Version</w:t>
            </w:r>
          </w:p>
        </w:tc>
        <w:tc>
          <w:tcPr>
            <w:tcW w:w="3120" w:type="dxa"/>
            <w:shd w:val="clear" w:color="auto" w:fill="D9D9D9"/>
            <w:tcMar>
              <w:top w:w="100" w:type="dxa"/>
              <w:left w:w="100" w:type="dxa"/>
              <w:bottom w:w="100" w:type="dxa"/>
              <w:right w:w="100" w:type="dxa"/>
            </w:tcMar>
          </w:tcPr>
          <w:p w14:paraId="591FFE21" w14:textId="77777777" w:rsidR="00190A7A" w:rsidRDefault="00000000">
            <w:pPr>
              <w:widowControl w:val="0"/>
              <w:spacing w:line="240" w:lineRule="auto"/>
              <w:rPr>
                <w:b/>
              </w:rPr>
            </w:pPr>
            <w:r>
              <w:rPr>
                <w:b/>
              </w:rPr>
              <w:t>Version Date</w:t>
            </w:r>
          </w:p>
        </w:tc>
        <w:tc>
          <w:tcPr>
            <w:tcW w:w="3795" w:type="dxa"/>
            <w:shd w:val="clear" w:color="auto" w:fill="D9D9D9"/>
            <w:tcMar>
              <w:top w:w="100" w:type="dxa"/>
              <w:left w:w="100" w:type="dxa"/>
              <w:bottom w:w="100" w:type="dxa"/>
              <w:right w:w="100" w:type="dxa"/>
            </w:tcMar>
          </w:tcPr>
          <w:p w14:paraId="3B6520F7" w14:textId="77777777" w:rsidR="00190A7A" w:rsidRDefault="00000000">
            <w:pPr>
              <w:widowControl w:val="0"/>
              <w:spacing w:line="240" w:lineRule="auto"/>
              <w:rPr>
                <w:b/>
              </w:rPr>
            </w:pPr>
            <w:r>
              <w:rPr>
                <w:b/>
              </w:rPr>
              <w:t>Brief Description of Change</w:t>
            </w:r>
          </w:p>
        </w:tc>
      </w:tr>
      <w:tr w:rsidR="00190A7A" w14:paraId="25CDF160" w14:textId="77777777" w:rsidTr="00356C79">
        <w:tc>
          <w:tcPr>
            <w:tcW w:w="3120" w:type="dxa"/>
            <w:shd w:val="clear" w:color="auto" w:fill="auto"/>
            <w:tcMar>
              <w:top w:w="100" w:type="dxa"/>
              <w:left w:w="100" w:type="dxa"/>
              <w:bottom w:w="100" w:type="dxa"/>
              <w:right w:w="100" w:type="dxa"/>
            </w:tcMar>
          </w:tcPr>
          <w:p w14:paraId="0B149E3F" w14:textId="77777777" w:rsidR="00190A7A" w:rsidRDefault="00000000">
            <w:pPr>
              <w:widowControl w:val="0"/>
              <w:spacing w:line="240" w:lineRule="auto"/>
            </w:pPr>
            <w:r>
              <w:t>1.0</w:t>
            </w:r>
          </w:p>
        </w:tc>
        <w:tc>
          <w:tcPr>
            <w:tcW w:w="3120" w:type="dxa"/>
            <w:shd w:val="clear" w:color="auto" w:fill="auto"/>
            <w:tcMar>
              <w:top w:w="100" w:type="dxa"/>
              <w:left w:w="100" w:type="dxa"/>
              <w:bottom w:w="100" w:type="dxa"/>
              <w:right w:w="100" w:type="dxa"/>
            </w:tcMar>
          </w:tcPr>
          <w:p w14:paraId="31077DB3" w14:textId="77777777" w:rsidR="00190A7A" w:rsidRDefault="00000000">
            <w:pPr>
              <w:widowControl w:val="0"/>
              <w:spacing w:line="240" w:lineRule="auto"/>
            </w:pPr>
            <w:r>
              <w:t>04/25/2024</w:t>
            </w:r>
          </w:p>
        </w:tc>
        <w:tc>
          <w:tcPr>
            <w:tcW w:w="3795" w:type="dxa"/>
            <w:shd w:val="clear" w:color="auto" w:fill="auto"/>
            <w:tcMar>
              <w:top w:w="100" w:type="dxa"/>
              <w:left w:w="100" w:type="dxa"/>
              <w:bottom w:w="100" w:type="dxa"/>
              <w:right w:w="100" w:type="dxa"/>
            </w:tcMar>
          </w:tcPr>
          <w:p w14:paraId="076E1951" w14:textId="77777777" w:rsidR="00190A7A" w:rsidRDefault="00000000">
            <w:pPr>
              <w:widowControl w:val="0"/>
              <w:spacing w:line="240" w:lineRule="auto"/>
            </w:pPr>
            <w:r>
              <w:t>Initial</w:t>
            </w:r>
          </w:p>
        </w:tc>
      </w:tr>
      <w:tr w:rsidR="00BF0FB3" w14:paraId="3B0DF42E" w14:textId="77777777" w:rsidTr="00356C79">
        <w:tc>
          <w:tcPr>
            <w:tcW w:w="3120" w:type="dxa"/>
            <w:shd w:val="clear" w:color="auto" w:fill="auto"/>
            <w:tcMar>
              <w:top w:w="100" w:type="dxa"/>
              <w:left w:w="100" w:type="dxa"/>
              <w:bottom w:w="100" w:type="dxa"/>
              <w:right w:w="100" w:type="dxa"/>
            </w:tcMar>
          </w:tcPr>
          <w:p w14:paraId="01742EE7" w14:textId="0ACA25FB" w:rsidR="00BF0FB3" w:rsidRDefault="00BF0FB3">
            <w:pPr>
              <w:widowControl w:val="0"/>
              <w:spacing w:line="240" w:lineRule="auto"/>
            </w:pPr>
            <w:r>
              <w:t>2.0</w:t>
            </w:r>
          </w:p>
        </w:tc>
        <w:tc>
          <w:tcPr>
            <w:tcW w:w="3120" w:type="dxa"/>
            <w:shd w:val="clear" w:color="auto" w:fill="auto"/>
            <w:tcMar>
              <w:top w:w="100" w:type="dxa"/>
              <w:left w:w="100" w:type="dxa"/>
              <w:bottom w:w="100" w:type="dxa"/>
              <w:right w:w="100" w:type="dxa"/>
            </w:tcMar>
          </w:tcPr>
          <w:p w14:paraId="6137FD6D" w14:textId="2D98049A" w:rsidR="00BF0FB3" w:rsidRDefault="00BF0FB3">
            <w:pPr>
              <w:widowControl w:val="0"/>
              <w:spacing w:line="240" w:lineRule="auto"/>
            </w:pPr>
            <w:r>
              <w:t>07/09/2024</w:t>
            </w:r>
          </w:p>
        </w:tc>
        <w:tc>
          <w:tcPr>
            <w:tcW w:w="3795" w:type="dxa"/>
            <w:shd w:val="clear" w:color="auto" w:fill="auto"/>
            <w:tcMar>
              <w:top w:w="100" w:type="dxa"/>
              <w:left w:w="100" w:type="dxa"/>
              <w:bottom w:w="100" w:type="dxa"/>
              <w:right w:w="100" w:type="dxa"/>
            </w:tcMar>
          </w:tcPr>
          <w:p w14:paraId="3C023091" w14:textId="2C0EEBC3" w:rsidR="00BF0FB3" w:rsidRDefault="00BF0FB3">
            <w:pPr>
              <w:widowControl w:val="0"/>
              <w:spacing w:line="240" w:lineRule="auto"/>
            </w:pPr>
            <w:r>
              <w:t>Added checkboxes</w:t>
            </w:r>
          </w:p>
        </w:tc>
      </w:tr>
    </w:tbl>
    <w:p w14:paraId="68B1A526" w14:textId="77777777" w:rsidR="00190A7A" w:rsidRDefault="00190A7A">
      <w:pPr>
        <w:keepLines/>
        <w:spacing w:line="240" w:lineRule="auto"/>
      </w:pPr>
    </w:p>
    <w:sectPr w:rsidR="00190A7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CAE2" w14:textId="77777777" w:rsidR="00CC7E97" w:rsidRDefault="00CC7E97">
      <w:pPr>
        <w:spacing w:line="240" w:lineRule="auto"/>
      </w:pPr>
      <w:r>
        <w:separator/>
      </w:r>
    </w:p>
  </w:endnote>
  <w:endnote w:type="continuationSeparator" w:id="0">
    <w:p w14:paraId="13BC2360" w14:textId="77777777" w:rsidR="00CC7E97" w:rsidRDefault="00CC7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ECED" w14:textId="0ABD6303" w:rsidR="00190A7A" w:rsidRDefault="00000000">
    <w:pPr>
      <w:jc w:val="right"/>
    </w:pPr>
    <w:r>
      <w:t xml:space="preserve">Version </w:t>
    </w:r>
    <w:r w:rsidR="00BF0FB3">
      <w:t>2</w:t>
    </w:r>
    <w:r>
      <w:t xml:space="preserve"> dated </w:t>
    </w:r>
    <w:r w:rsidR="00356C79">
      <w:t>0</w:t>
    </w:r>
    <w:r w:rsidR="00BF0FB3">
      <w:t>7</w:t>
    </w:r>
    <w:r w:rsidR="00356C79">
      <w:t>/</w:t>
    </w:r>
    <w:r w:rsidR="00BF0FB3">
      <w:t>09</w:t>
    </w:r>
    <w:r w:rsidR="00356C79">
      <w:t>/</w:t>
    </w:r>
    <w:r>
      <w:t>2024</w:t>
    </w:r>
    <w:r>
      <w:tab/>
    </w:r>
    <w:r>
      <w:tab/>
    </w:r>
    <w:r>
      <w:tab/>
    </w:r>
    <w:r>
      <w:tab/>
    </w:r>
    <w:r>
      <w:tab/>
    </w:r>
    <w:r>
      <w:tab/>
    </w:r>
    <w:r>
      <w:tab/>
    </w:r>
    <w:r>
      <w:tab/>
    </w:r>
    <w:r>
      <w:tab/>
    </w:r>
    <w:r>
      <w:fldChar w:fldCharType="begin"/>
    </w:r>
    <w:r>
      <w:instrText>PAGE</w:instrText>
    </w:r>
    <w:r>
      <w:fldChar w:fldCharType="separate"/>
    </w:r>
    <w:r w:rsidR="00356C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FC1C" w14:textId="77777777" w:rsidR="00CC7E97" w:rsidRDefault="00CC7E97">
      <w:pPr>
        <w:spacing w:line="240" w:lineRule="auto"/>
      </w:pPr>
      <w:r>
        <w:separator/>
      </w:r>
    </w:p>
  </w:footnote>
  <w:footnote w:type="continuationSeparator" w:id="0">
    <w:p w14:paraId="18C228D9" w14:textId="77777777" w:rsidR="00CC7E97" w:rsidRDefault="00CC7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8052" w14:textId="77777777" w:rsidR="00190A7A" w:rsidRDefault="00000000" w:rsidP="002D4BBF">
    <w:pPr>
      <w:jc w:val="center"/>
    </w:pPr>
    <w:r>
      <w:rPr>
        <w:noProof/>
      </w:rPr>
      <w:drawing>
        <wp:inline distT="114300" distB="114300" distL="114300" distR="114300" wp14:anchorId="0B00B6A9" wp14:editId="5C545A23">
          <wp:extent cx="4924269" cy="568185"/>
          <wp:effectExtent l="0" t="0" r="0" b="3810"/>
          <wp:docPr id="1" name="image1.png" descr="VCU OV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VCU OVPRI"/>
                  <pic:cNvPicPr preferRelativeResize="0"/>
                </pic:nvPicPr>
                <pic:blipFill>
                  <a:blip r:embed="rId1"/>
                  <a:srcRect/>
                  <a:stretch>
                    <a:fillRect/>
                  </a:stretch>
                </pic:blipFill>
                <pic:spPr>
                  <a:xfrm>
                    <a:off x="0" y="0"/>
                    <a:ext cx="5033911" cy="580836"/>
                  </a:xfrm>
                  <a:prstGeom prst="rect">
                    <a:avLst/>
                  </a:prstGeom>
                  <a:ln/>
                </pic:spPr>
              </pic:pic>
            </a:graphicData>
          </a:graphic>
        </wp:inline>
      </w:drawing>
    </w:r>
  </w:p>
  <w:p w14:paraId="0D52DFD8" w14:textId="77777777" w:rsidR="002D4BBF" w:rsidRDefault="002D4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751"/>
    <w:multiLevelType w:val="multilevel"/>
    <w:tmpl w:val="A4969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E049B"/>
    <w:multiLevelType w:val="multilevel"/>
    <w:tmpl w:val="D042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0D3E72"/>
    <w:multiLevelType w:val="multilevel"/>
    <w:tmpl w:val="B2E2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933114">
    <w:abstractNumId w:val="1"/>
  </w:num>
  <w:num w:numId="2" w16cid:durableId="1827821390">
    <w:abstractNumId w:val="0"/>
  </w:num>
  <w:num w:numId="3" w16cid:durableId="1550652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7A"/>
    <w:rsid w:val="00111A8F"/>
    <w:rsid w:val="00190A7A"/>
    <w:rsid w:val="002D4BBF"/>
    <w:rsid w:val="003449FE"/>
    <w:rsid w:val="00356C79"/>
    <w:rsid w:val="003B4230"/>
    <w:rsid w:val="00457289"/>
    <w:rsid w:val="00500879"/>
    <w:rsid w:val="00831630"/>
    <w:rsid w:val="00AB2BB7"/>
    <w:rsid w:val="00BF0FB3"/>
    <w:rsid w:val="00CC7E97"/>
    <w:rsid w:val="00F6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A2C46"/>
  <w15:docId w15:val="{749BE619-4F76-EC4E-9E79-DD6B73EE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56C79"/>
    <w:pPr>
      <w:tabs>
        <w:tab w:val="center" w:pos="4680"/>
        <w:tab w:val="right" w:pos="9360"/>
      </w:tabs>
      <w:spacing w:line="240" w:lineRule="auto"/>
    </w:pPr>
  </w:style>
  <w:style w:type="character" w:customStyle="1" w:styleId="HeaderChar">
    <w:name w:val="Header Char"/>
    <w:basedOn w:val="DefaultParagraphFont"/>
    <w:link w:val="Header"/>
    <w:uiPriority w:val="99"/>
    <w:rsid w:val="00356C79"/>
  </w:style>
  <w:style w:type="paragraph" w:styleId="Footer">
    <w:name w:val="footer"/>
    <w:basedOn w:val="Normal"/>
    <w:link w:val="FooterChar"/>
    <w:uiPriority w:val="99"/>
    <w:unhideWhenUsed/>
    <w:rsid w:val="00356C79"/>
    <w:pPr>
      <w:tabs>
        <w:tab w:val="center" w:pos="4680"/>
        <w:tab w:val="right" w:pos="9360"/>
      </w:tabs>
      <w:spacing w:line="240" w:lineRule="auto"/>
    </w:pPr>
  </w:style>
  <w:style w:type="character" w:customStyle="1" w:styleId="FooterChar">
    <w:name w:val="Footer Char"/>
    <w:basedOn w:val="DefaultParagraphFont"/>
    <w:link w:val="Footer"/>
    <w:uiPriority w:val="99"/>
    <w:rsid w:val="0035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Ella Danilovich</cp:lastModifiedBy>
  <cp:revision>6</cp:revision>
  <dcterms:created xsi:type="dcterms:W3CDTF">2024-04-25T13:37:00Z</dcterms:created>
  <dcterms:modified xsi:type="dcterms:W3CDTF">2024-07-15T17:35:00Z</dcterms:modified>
</cp:coreProperties>
</file>