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E9BF3" w14:textId="77777777" w:rsidR="00F37DD6" w:rsidRDefault="00F37DD6">
      <w:pPr>
        <w:widowControl w:val="0"/>
        <w:pBdr>
          <w:top w:val="nil"/>
          <w:left w:val="nil"/>
          <w:bottom w:val="nil"/>
          <w:right w:val="nil"/>
          <w:between w:val="nil"/>
        </w:pBdr>
        <w:spacing w:after="0" w:line="276" w:lineRule="auto"/>
      </w:pPr>
    </w:p>
    <w:p w14:paraId="0D5E9BF4" w14:textId="77777777" w:rsidR="00F37DD6" w:rsidRDefault="00F37DD6">
      <w:pPr>
        <w:widowControl w:val="0"/>
        <w:pBdr>
          <w:top w:val="nil"/>
          <w:left w:val="nil"/>
          <w:bottom w:val="nil"/>
          <w:right w:val="nil"/>
          <w:between w:val="nil"/>
        </w:pBdr>
        <w:spacing w:after="0" w:line="276" w:lineRule="auto"/>
      </w:pPr>
    </w:p>
    <w:p w14:paraId="0D5E9BF5" w14:textId="77777777" w:rsidR="00F37DD6" w:rsidRDefault="00F37DD6">
      <w:pPr>
        <w:widowControl w:val="0"/>
        <w:pBdr>
          <w:top w:val="nil"/>
          <w:left w:val="nil"/>
          <w:bottom w:val="nil"/>
          <w:right w:val="nil"/>
          <w:between w:val="nil"/>
        </w:pBdr>
        <w:spacing w:after="0" w:line="276" w:lineRule="auto"/>
      </w:pPr>
    </w:p>
    <w:p w14:paraId="0D5E9BF6" w14:textId="77777777" w:rsidR="00F37DD6" w:rsidRDefault="00F37DD6">
      <w:pPr>
        <w:widowControl w:val="0"/>
        <w:pBdr>
          <w:top w:val="nil"/>
          <w:left w:val="nil"/>
          <w:bottom w:val="nil"/>
          <w:right w:val="nil"/>
          <w:between w:val="nil"/>
        </w:pBdr>
        <w:spacing w:after="0" w:line="276" w:lineRule="auto"/>
      </w:pPr>
    </w:p>
    <w:p w14:paraId="0D5E9BF7" w14:textId="2098FED5" w:rsidR="00F37DD6" w:rsidRDefault="0032229F">
      <w:pPr>
        <w:pBdr>
          <w:top w:val="nil"/>
          <w:left w:val="nil"/>
          <w:bottom w:val="nil"/>
          <w:right w:val="nil"/>
          <w:between w:val="nil"/>
        </w:pBdr>
        <w:spacing w:after="120" w:line="276" w:lineRule="auto"/>
        <w:ind w:left="288" w:hanging="288"/>
        <w:jc w:val="center"/>
        <w:rPr>
          <w:rFonts w:ascii="Arial" w:eastAsia="Arial" w:hAnsi="Arial" w:cs="Arial"/>
          <w:color w:val="000000"/>
        </w:rPr>
      </w:pPr>
      <w:r>
        <w:rPr>
          <w:rFonts w:ascii="Arial" w:eastAsia="Arial" w:hAnsi="Arial" w:cs="Arial"/>
          <w:color w:val="000000"/>
        </w:rPr>
        <w:t xml:space="preserve">HRP-024 | </w:t>
      </w:r>
      <w:r w:rsidR="00D24E78">
        <w:rPr>
          <w:rFonts w:ascii="Arial" w:eastAsia="Arial" w:hAnsi="Arial" w:cs="Arial"/>
        </w:rPr>
        <w:t>02/01</w:t>
      </w:r>
      <w:r>
        <w:rPr>
          <w:rFonts w:ascii="Arial" w:eastAsia="Arial" w:hAnsi="Arial" w:cs="Arial"/>
          <w:color w:val="000000"/>
        </w:rPr>
        <w:t>/202</w:t>
      </w:r>
      <w:r w:rsidR="00D24E78">
        <w:rPr>
          <w:rFonts w:ascii="Arial" w:eastAsia="Arial" w:hAnsi="Arial" w:cs="Arial"/>
          <w:color w:val="000000"/>
        </w:rPr>
        <w:t>4</w:t>
      </w:r>
      <w:r>
        <w:rPr>
          <w:rFonts w:ascii="Arial" w:eastAsia="Arial" w:hAnsi="Arial" w:cs="Arial"/>
          <w:color w:val="000000"/>
        </w:rPr>
        <w:t xml:space="preserve"> | Author: T. Bechert | Approver: S. Brooks</w:t>
      </w:r>
    </w:p>
    <w:p w14:paraId="0D5E9BF8" w14:textId="77777777" w:rsidR="00F37DD6" w:rsidRDefault="0032229F">
      <w:pPr>
        <w:keepNext/>
        <w:keepLines/>
        <w:pBdr>
          <w:top w:val="nil"/>
          <w:left w:val="nil"/>
          <w:bottom w:val="nil"/>
          <w:right w:val="nil"/>
          <w:between w:val="nil"/>
        </w:pBdr>
        <w:spacing w:before="240" w:after="0" w:line="240" w:lineRule="auto"/>
        <w:jc w:val="center"/>
        <w:rPr>
          <w:rFonts w:ascii="Arial" w:eastAsia="Arial" w:hAnsi="Arial" w:cs="Arial"/>
          <w:b/>
          <w:color w:val="000000"/>
          <w:sz w:val="32"/>
          <w:szCs w:val="32"/>
        </w:rPr>
      </w:pPr>
      <w:r>
        <w:rPr>
          <w:rFonts w:ascii="Arial" w:eastAsia="Arial" w:hAnsi="Arial" w:cs="Arial"/>
          <w:b/>
          <w:color w:val="000000"/>
          <w:sz w:val="32"/>
          <w:szCs w:val="32"/>
        </w:rPr>
        <w:t xml:space="preserve">SOP: New Information </w:t>
      </w:r>
    </w:p>
    <w:p w14:paraId="0D5E9BF9" w14:textId="77777777" w:rsidR="00F37DD6" w:rsidRDefault="00F37DD6">
      <w:pPr>
        <w:keepNext/>
        <w:keepLines/>
        <w:pBdr>
          <w:top w:val="nil"/>
          <w:left w:val="nil"/>
          <w:bottom w:val="nil"/>
          <w:right w:val="nil"/>
          <w:between w:val="nil"/>
        </w:pBdr>
        <w:spacing w:before="240" w:after="0" w:line="240" w:lineRule="auto"/>
        <w:jc w:val="center"/>
        <w:rPr>
          <w:rFonts w:ascii="Arial" w:eastAsia="Arial" w:hAnsi="Arial" w:cs="Arial"/>
          <w:b/>
          <w:color w:val="000000"/>
          <w:sz w:val="32"/>
          <w:szCs w:val="32"/>
        </w:rPr>
      </w:pPr>
    </w:p>
    <w:p w14:paraId="0D5E9BFA" w14:textId="77777777" w:rsidR="00F37DD6" w:rsidRDefault="0032229F">
      <w:pPr>
        <w:numPr>
          <w:ilvl w:val="0"/>
          <w:numId w:val="1"/>
        </w:numPr>
        <w:pBdr>
          <w:top w:val="nil"/>
          <w:left w:val="nil"/>
          <w:bottom w:val="nil"/>
          <w:right w:val="nil"/>
          <w:between w:val="nil"/>
        </w:pBdr>
        <w:spacing w:before="40" w:after="40" w:line="276" w:lineRule="auto"/>
        <w:rPr>
          <w:rFonts w:ascii="Arial" w:eastAsia="Arial" w:hAnsi="Arial" w:cs="Arial"/>
          <w:b/>
          <w:color w:val="000000"/>
        </w:rPr>
      </w:pPr>
      <w:r>
        <w:rPr>
          <w:rFonts w:ascii="Arial" w:eastAsia="Arial" w:hAnsi="Arial" w:cs="Arial"/>
          <w:b/>
          <w:color w:val="000000"/>
        </w:rPr>
        <w:t>PURPOSE</w:t>
      </w:r>
    </w:p>
    <w:p w14:paraId="0D5E9BFB" w14:textId="77777777" w:rsidR="00F37DD6" w:rsidRDefault="0032229F">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This procedure establishes the process to manage information reported to the IRB to ensure that information that represents </w:t>
      </w:r>
      <w:r>
        <w:rPr>
          <w:rFonts w:ascii="Arial" w:eastAsia="Arial" w:hAnsi="Arial" w:cs="Arial"/>
          <w:color w:val="000000"/>
          <w:u w:val="single"/>
        </w:rPr>
        <w:t>Non-Compliance</w:t>
      </w:r>
      <w:r>
        <w:rPr>
          <w:rFonts w:ascii="Arial" w:eastAsia="Arial" w:hAnsi="Arial" w:cs="Arial"/>
          <w:color w:val="000000"/>
        </w:rPr>
        <w:t xml:space="preserve">, </w:t>
      </w:r>
      <w:r>
        <w:rPr>
          <w:rFonts w:ascii="Arial" w:eastAsia="Arial" w:hAnsi="Arial" w:cs="Arial"/>
          <w:color w:val="000000"/>
          <w:u w:val="single"/>
        </w:rPr>
        <w:t>Unanticipated Problems Involving Risks to Subjects or Others</w:t>
      </w:r>
      <w:r>
        <w:rPr>
          <w:rFonts w:ascii="Arial" w:eastAsia="Arial" w:hAnsi="Arial" w:cs="Arial"/>
          <w:color w:val="000000"/>
        </w:rPr>
        <w:t xml:space="preserve">, </w:t>
      </w:r>
      <w:r>
        <w:rPr>
          <w:rFonts w:ascii="Arial" w:eastAsia="Arial" w:hAnsi="Arial" w:cs="Arial"/>
          <w:color w:val="000000"/>
          <w:u w:val="single"/>
        </w:rPr>
        <w:t>Suspensions of IRB Approval</w:t>
      </w:r>
      <w:r>
        <w:rPr>
          <w:rFonts w:ascii="Arial" w:eastAsia="Arial" w:hAnsi="Arial" w:cs="Arial"/>
          <w:color w:val="000000"/>
        </w:rPr>
        <w:t xml:space="preserve">, and </w:t>
      </w:r>
      <w:r>
        <w:rPr>
          <w:rFonts w:ascii="Arial" w:eastAsia="Arial" w:hAnsi="Arial" w:cs="Arial"/>
          <w:color w:val="000000"/>
          <w:u w:val="single"/>
        </w:rPr>
        <w:t>Terminations of IRB Approval</w:t>
      </w:r>
      <w:r>
        <w:rPr>
          <w:rFonts w:ascii="Arial" w:eastAsia="Arial" w:hAnsi="Arial" w:cs="Arial"/>
          <w:color w:val="000000"/>
        </w:rPr>
        <w:t xml:space="preserve"> are managed to protect the rights and welfare of subjects.</w:t>
      </w:r>
    </w:p>
    <w:p w14:paraId="0D5E9BFC" w14:textId="77777777" w:rsidR="00F37DD6" w:rsidRDefault="0032229F">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The process begins when the IRB receives an information item.</w:t>
      </w:r>
    </w:p>
    <w:p w14:paraId="0D5E9BFD" w14:textId="77777777" w:rsidR="00F37DD6" w:rsidRDefault="0032229F">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The process ends when the information item is determined not to represent a problem that requires management, is managed administratively, or referred to the convened IRB for review.</w:t>
      </w:r>
    </w:p>
    <w:p w14:paraId="0D5E9BFE" w14:textId="77777777" w:rsidR="00F37DD6" w:rsidRDefault="0032229F">
      <w:pPr>
        <w:numPr>
          <w:ilvl w:val="0"/>
          <w:numId w:val="1"/>
        </w:numPr>
        <w:pBdr>
          <w:top w:val="nil"/>
          <w:left w:val="nil"/>
          <w:bottom w:val="nil"/>
          <w:right w:val="nil"/>
          <w:between w:val="nil"/>
        </w:pBdr>
        <w:spacing w:before="40" w:after="40" w:line="276" w:lineRule="auto"/>
        <w:rPr>
          <w:rFonts w:ascii="Arial" w:eastAsia="Arial" w:hAnsi="Arial" w:cs="Arial"/>
          <w:b/>
          <w:color w:val="000000"/>
        </w:rPr>
      </w:pPr>
      <w:r>
        <w:rPr>
          <w:rFonts w:ascii="Arial" w:eastAsia="Arial" w:hAnsi="Arial" w:cs="Arial"/>
          <w:b/>
          <w:color w:val="000000"/>
        </w:rPr>
        <w:t>REVISIONS FROM PREVIOUS VERSION</w:t>
      </w:r>
    </w:p>
    <w:p w14:paraId="0D5E9BFF" w14:textId="4C87DA3B" w:rsidR="00F37DD6" w:rsidRDefault="00F42EC9">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Revised section 5.10</w:t>
      </w:r>
      <w:r w:rsidR="0064676A">
        <w:rPr>
          <w:rFonts w:ascii="Arial" w:eastAsia="Arial" w:hAnsi="Arial" w:cs="Arial"/>
          <w:color w:val="000000"/>
        </w:rPr>
        <w:t xml:space="preserve"> </w:t>
      </w:r>
      <w:r w:rsidR="00E70511">
        <w:rPr>
          <w:rFonts w:ascii="Arial" w:eastAsia="Arial" w:hAnsi="Arial" w:cs="Arial"/>
          <w:color w:val="000000"/>
        </w:rPr>
        <w:t>steps to post HRP-519 - Information Item; 10/2/23</w:t>
      </w:r>
      <w:r w:rsidR="0032229F">
        <w:rPr>
          <w:rFonts w:ascii="Arial" w:eastAsia="Arial" w:hAnsi="Arial" w:cs="Arial"/>
          <w:color w:val="000000"/>
        </w:rPr>
        <w:t>.</w:t>
      </w:r>
    </w:p>
    <w:p w14:paraId="28C9E83B" w14:textId="277812E3" w:rsidR="00D24E78" w:rsidRDefault="00D24E78">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Minor formatting correction; 2/1/24. </w:t>
      </w:r>
    </w:p>
    <w:p w14:paraId="0D5E9C00" w14:textId="77777777" w:rsidR="00F37DD6" w:rsidRDefault="0032229F">
      <w:pPr>
        <w:numPr>
          <w:ilvl w:val="0"/>
          <w:numId w:val="1"/>
        </w:numPr>
        <w:pBdr>
          <w:top w:val="nil"/>
          <w:left w:val="nil"/>
          <w:bottom w:val="nil"/>
          <w:right w:val="nil"/>
          <w:between w:val="nil"/>
        </w:pBdr>
        <w:spacing w:before="40" w:after="40" w:line="276" w:lineRule="auto"/>
        <w:rPr>
          <w:rFonts w:ascii="Arial" w:eastAsia="Arial" w:hAnsi="Arial" w:cs="Arial"/>
          <w:b/>
          <w:color w:val="000000"/>
        </w:rPr>
      </w:pPr>
      <w:r>
        <w:rPr>
          <w:rFonts w:ascii="Arial" w:eastAsia="Arial" w:hAnsi="Arial" w:cs="Arial"/>
          <w:b/>
          <w:color w:val="000000"/>
        </w:rPr>
        <w:t>POLICY</w:t>
      </w:r>
    </w:p>
    <w:p w14:paraId="0D5E9C01" w14:textId="77777777" w:rsidR="00F37DD6" w:rsidRDefault="0032229F">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u w:val="single"/>
        </w:rPr>
        <w:t>Allegations of Serious or Continuing Non-Compliance</w:t>
      </w:r>
      <w:r>
        <w:rPr>
          <w:rFonts w:ascii="Arial" w:eastAsia="Arial" w:hAnsi="Arial" w:cs="Arial"/>
          <w:color w:val="000000"/>
        </w:rPr>
        <w:t xml:space="preserve"> on the part of IRB staff or IRB members will be referred to the Institu</w:t>
      </w:r>
      <w:r>
        <w:rPr>
          <w:rFonts w:ascii="Arial" w:eastAsia="Arial" w:hAnsi="Arial" w:cs="Arial"/>
        </w:rPr>
        <w:t>tional Official/Deputy Institutional</w:t>
      </w:r>
      <w:r>
        <w:rPr>
          <w:rFonts w:ascii="Arial" w:eastAsia="Arial" w:hAnsi="Arial" w:cs="Arial"/>
          <w:color w:val="000000"/>
        </w:rPr>
        <w:t xml:space="preserve"> Official (IO/DIO) for further action.</w:t>
      </w:r>
    </w:p>
    <w:p w14:paraId="0D5E9C02" w14:textId="77777777" w:rsidR="00F37DD6" w:rsidRDefault="0032229F">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The organization will promptly notify the federal department or agency funding the research of any for</w:t>
      </w:r>
      <w:r>
        <w:rPr>
          <w:rFonts w:ascii="Arial" w:eastAsia="Arial" w:hAnsi="Arial" w:cs="Arial"/>
        </w:rPr>
        <w:t>-</w:t>
      </w:r>
      <w:r>
        <w:rPr>
          <w:rFonts w:ascii="Arial" w:eastAsia="Arial" w:hAnsi="Arial" w:cs="Arial"/>
          <w:color w:val="000000"/>
        </w:rPr>
        <w:t>cause investigation of that research by another federal department or agency or national organization.</w:t>
      </w:r>
    </w:p>
    <w:p w14:paraId="0D5E9C03" w14:textId="77777777" w:rsidR="00F37DD6" w:rsidRDefault="0032229F">
      <w:pPr>
        <w:numPr>
          <w:ilvl w:val="2"/>
          <w:numId w:val="1"/>
        </w:numPr>
        <w:pBdr>
          <w:top w:val="nil"/>
          <w:left w:val="nil"/>
          <w:bottom w:val="nil"/>
          <w:right w:val="nil"/>
          <w:between w:val="nil"/>
        </w:pBdr>
        <w:spacing w:before="20" w:after="20" w:line="276" w:lineRule="auto"/>
        <w:rPr>
          <w:rFonts w:ascii="Arial" w:eastAsia="Arial" w:hAnsi="Arial" w:cs="Arial"/>
          <w:color w:val="00B050"/>
        </w:rPr>
      </w:pPr>
      <w:r>
        <w:rPr>
          <w:rFonts w:ascii="Arial" w:eastAsia="Arial" w:hAnsi="Arial" w:cs="Arial"/>
          <w:color w:val="00B050"/>
        </w:rPr>
        <w:t>For Department of Defense (DOD) research the report is sent to the DOD human research protection officer.</w:t>
      </w:r>
    </w:p>
    <w:p w14:paraId="0D5E9C04" w14:textId="77777777" w:rsidR="00F37DD6" w:rsidRDefault="0032229F">
      <w:pPr>
        <w:numPr>
          <w:ilvl w:val="1"/>
          <w:numId w:val="1"/>
        </w:numPr>
        <w:pBdr>
          <w:top w:val="nil"/>
          <w:left w:val="nil"/>
          <w:bottom w:val="nil"/>
          <w:right w:val="nil"/>
          <w:between w:val="nil"/>
        </w:pBdr>
        <w:spacing w:before="20" w:after="20" w:line="276" w:lineRule="auto"/>
        <w:rPr>
          <w:rFonts w:ascii="Arial" w:eastAsia="Arial" w:hAnsi="Arial" w:cs="Arial"/>
          <w:color w:val="00B050"/>
        </w:rPr>
      </w:pPr>
      <w:r>
        <w:rPr>
          <w:rFonts w:ascii="Arial" w:eastAsia="Arial" w:hAnsi="Arial" w:cs="Arial"/>
          <w:color w:val="00B050"/>
        </w:rPr>
        <w:t xml:space="preserve">The organization will promptly notify the Department of Defense (DOD) if the IRB of record changes. </w:t>
      </w:r>
    </w:p>
    <w:p w14:paraId="0D5E9C05" w14:textId="77777777" w:rsidR="00F37DD6" w:rsidRDefault="0032229F">
      <w:pPr>
        <w:numPr>
          <w:ilvl w:val="1"/>
          <w:numId w:val="1"/>
        </w:numPr>
        <w:pBdr>
          <w:top w:val="nil"/>
          <w:left w:val="nil"/>
          <w:bottom w:val="nil"/>
          <w:right w:val="nil"/>
          <w:between w:val="nil"/>
        </w:pBdr>
        <w:spacing w:before="20" w:after="20" w:line="276" w:lineRule="auto"/>
        <w:rPr>
          <w:rFonts w:ascii="Arial" w:eastAsia="Arial" w:hAnsi="Arial" w:cs="Arial"/>
          <w:color w:val="00B050"/>
        </w:rPr>
      </w:pPr>
      <w:r>
        <w:rPr>
          <w:rFonts w:ascii="Arial" w:eastAsia="Arial" w:hAnsi="Arial" w:cs="Arial"/>
          <w:color w:val="00B050"/>
        </w:rPr>
        <w:t>Substantiated allegations related to classified Department of Defense (DOD) HSR must be reported immediately.</w:t>
      </w:r>
    </w:p>
    <w:p w14:paraId="0D5E9C06" w14:textId="77777777" w:rsidR="00F37DD6" w:rsidRPr="002D07AE" w:rsidRDefault="0032229F">
      <w:pPr>
        <w:numPr>
          <w:ilvl w:val="1"/>
          <w:numId w:val="1"/>
        </w:numPr>
        <w:pBdr>
          <w:top w:val="nil"/>
          <w:left w:val="nil"/>
          <w:bottom w:val="nil"/>
          <w:right w:val="nil"/>
          <w:between w:val="nil"/>
        </w:pBdr>
        <w:spacing w:before="20" w:after="20" w:line="276" w:lineRule="auto"/>
        <w:rPr>
          <w:rFonts w:ascii="Arial" w:eastAsia="Arial" w:hAnsi="Arial" w:cs="Arial"/>
          <w:color w:val="FF0000"/>
        </w:rPr>
      </w:pPr>
      <w:r w:rsidRPr="002D07AE">
        <w:rPr>
          <w:rFonts w:ascii="Arial" w:eastAsia="Arial" w:hAnsi="Arial" w:cs="Arial"/>
          <w:color w:val="FF0000"/>
        </w:rPr>
        <w:t>For Veterans Administration (VA) research:</w:t>
      </w:r>
    </w:p>
    <w:p w14:paraId="0D5E9C07" w14:textId="77777777" w:rsidR="00F37DD6" w:rsidRPr="002D07AE" w:rsidRDefault="0032229F">
      <w:pPr>
        <w:numPr>
          <w:ilvl w:val="2"/>
          <w:numId w:val="1"/>
        </w:numPr>
        <w:pBdr>
          <w:top w:val="nil"/>
          <w:left w:val="nil"/>
          <w:bottom w:val="nil"/>
          <w:right w:val="nil"/>
          <w:between w:val="nil"/>
        </w:pBdr>
        <w:spacing w:before="20" w:after="20" w:line="276" w:lineRule="auto"/>
        <w:rPr>
          <w:rFonts w:ascii="Arial" w:eastAsia="Arial" w:hAnsi="Arial" w:cs="Arial"/>
          <w:color w:val="FF0000"/>
        </w:rPr>
      </w:pPr>
      <w:r w:rsidRPr="002D07AE">
        <w:rPr>
          <w:rFonts w:ascii="Arial" w:eastAsia="Arial" w:hAnsi="Arial" w:cs="Arial"/>
          <w:color w:val="FF0000"/>
        </w:rPr>
        <w:t xml:space="preserve">The determination that </w:t>
      </w:r>
      <w:r w:rsidRPr="002D07AE">
        <w:rPr>
          <w:rFonts w:ascii="Arial" w:eastAsia="Arial" w:hAnsi="Arial" w:cs="Arial"/>
          <w:color w:val="FF0000"/>
          <w:u w:val="single"/>
        </w:rPr>
        <w:t>Non-Compliance</w:t>
      </w:r>
      <w:r w:rsidRPr="002D07AE">
        <w:rPr>
          <w:rFonts w:ascii="Arial" w:eastAsia="Arial" w:hAnsi="Arial" w:cs="Arial"/>
          <w:color w:val="FF0000"/>
        </w:rPr>
        <w:t xml:space="preserve"> is </w:t>
      </w:r>
      <w:r w:rsidRPr="002D07AE">
        <w:rPr>
          <w:rFonts w:ascii="Arial" w:eastAsia="Arial" w:hAnsi="Arial" w:cs="Arial"/>
          <w:color w:val="FF0000"/>
          <w:u w:val="single"/>
        </w:rPr>
        <w:t>Serious Non-Compliance</w:t>
      </w:r>
      <w:r w:rsidRPr="002D07AE">
        <w:rPr>
          <w:rFonts w:ascii="Arial" w:eastAsia="Arial" w:hAnsi="Arial" w:cs="Arial"/>
          <w:color w:val="FF0000"/>
        </w:rPr>
        <w:t xml:space="preserve"> or </w:t>
      </w:r>
      <w:r w:rsidRPr="002D07AE">
        <w:rPr>
          <w:rFonts w:ascii="Arial" w:eastAsia="Arial" w:hAnsi="Arial" w:cs="Arial"/>
          <w:color w:val="FF0000"/>
          <w:u w:val="single"/>
        </w:rPr>
        <w:t>Continuing Non-Compliance</w:t>
      </w:r>
      <w:r w:rsidRPr="002D07AE">
        <w:rPr>
          <w:rFonts w:ascii="Arial" w:eastAsia="Arial" w:hAnsi="Arial" w:cs="Arial"/>
          <w:color w:val="FF0000"/>
        </w:rPr>
        <w:t xml:space="preserve"> must be determined and documented by the convened IRB.</w:t>
      </w:r>
    </w:p>
    <w:p w14:paraId="0D5E9C08" w14:textId="77777777" w:rsidR="00F37DD6" w:rsidRPr="002D07AE" w:rsidRDefault="0032229F">
      <w:pPr>
        <w:numPr>
          <w:ilvl w:val="2"/>
          <w:numId w:val="1"/>
        </w:numPr>
        <w:pBdr>
          <w:top w:val="nil"/>
          <w:left w:val="nil"/>
          <w:bottom w:val="nil"/>
          <w:right w:val="nil"/>
          <w:between w:val="nil"/>
        </w:pBdr>
        <w:spacing w:before="20" w:after="20" w:line="276" w:lineRule="auto"/>
        <w:rPr>
          <w:rFonts w:ascii="Arial" w:eastAsia="Arial" w:hAnsi="Arial" w:cs="Arial"/>
          <w:color w:val="FF0000"/>
        </w:rPr>
      </w:pPr>
      <w:r w:rsidRPr="002D07AE">
        <w:rPr>
          <w:rFonts w:ascii="Arial" w:eastAsia="Arial" w:hAnsi="Arial" w:cs="Arial"/>
          <w:color w:val="FF0000"/>
        </w:rPr>
        <w:t xml:space="preserve">The convened IRB must review notifications of apparent </w:t>
      </w:r>
      <w:r w:rsidRPr="002D07AE">
        <w:rPr>
          <w:rFonts w:ascii="Arial" w:eastAsia="Arial" w:hAnsi="Arial" w:cs="Arial"/>
          <w:color w:val="FF0000"/>
          <w:u w:val="single"/>
        </w:rPr>
        <w:t>Unanticipated Problems Involving Risks to Subjects or Others</w:t>
      </w:r>
      <w:r w:rsidRPr="002D07AE">
        <w:rPr>
          <w:rFonts w:ascii="Arial" w:eastAsia="Arial" w:hAnsi="Arial" w:cs="Arial"/>
          <w:color w:val="FF0000"/>
        </w:rPr>
        <w:t xml:space="preserve">, </w:t>
      </w:r>
      <w:r w:rsidRPr="002D07AE">
        <w:rPr>
          <w:rFonts w:ascii="Arial" w:eastAsia="Arial" w:hAnsi="Arial" w:cs="Arial"/>
          <w:color w:val="FF0000"/>
          <w:u w:val="single"/>
        </w:rPr>
        <w:t>Serious Non-Compliance</w:t>
      </w:r>
      <w:r w:rsidRPr="002D07AE">
        <w:rPr>
          <w:rFonts w:ascii="Arial" w:eastAsia="Arial" w:hAnsi="Arial" w:cs="Arial"/>
          <w:color w:val="FF0000"/>
        </w:rPr>
        <w:t xml:space="preserve">, </w:t>
      </w:r>
      <w:r w:rsidRPr="002D07AE">
        <w:rPr>
          <w:rFonts w:ascii="Arial" w:eastAsia="Arial" w:hAnsi="Arial" w:cs="Arial"/>
          <w:color w:val="FF0000"/>
          <w:u w:val="single"/>
        </w:rPr>
        <w:t>Continuing Non-Compliance</w:t>
      </w:r>
      <w:r w:rsidRPr="002D07AE">
        <w:rPr>
          <w:rFonts w:ascii="Arial" w:eastAsia="Arial" w:hAnsi="Arial" w:cs="Arial"/>
          <w:color w:val="FF0000"/>
        </w:rPr>
        <w:t xml:space="preserve">, and external </w:t>
      </w:r>
      <w:r w:rsidRPr="002D07AE">
        <w:rPr>
          <w:rFonts w:ascii="Arial" w:eastAsia="Arial" w:hAnsi="Arial" w:cs="Arial"/>
          <w:color w:val="FF0000"/>
          <w:u w:val="single"/>
        </w:rPr>
        <w:t>Suspension of IRB Approval</w:t>
      </w:r>
      <w:r w:rsidRPr="002D07AE">
        <w:rPr>
          <w:rFonts w:ascii="Arial" w:eastAsia="Arial" w:hAnsi="Arial" w:cs="Arial"/>
          <w:color w:val="FF0000"/>
        </w:rPr>
        <w:t xml:space="preserve">, or </w:t>
      </w:r>
      <w:r w:rsidRPr="002D07AE">
        <w:rPr>
          <w:rFonts w:ascii="Arial" w:eastAsia="Arial" w:hAnsi="Arial" w:cs="Arial"/>
          <w:color w:val="FF0000"/>
          <w:u w:val="single"/>
        </w:rPr>
        <w:t>Termination of IRB Approval</w:t>
      </w:r>
      <w:r w:rsidRPr="002D07AE">
        <w:rPr>
          <w:rFonts w:ascii="Arial" w:eastAsia="Arial" w:hAnsi="Arial" w:cs="Arial"/>
          <w:color w:val="FF0000"/>
        </w:rPr>
        <w:t xml:space="preserve"> within 30 calendar days after receiving the notification.</w:t>
      </w:r>
    </w:p>
    <w:p w14:paraId="0D5E9C09" w14:textId="77777777" w:rsidR="00F37DD6" w:rsidRPr="002D07AE" w:rsidRDefault="0032229F">
      <w:pPr>
        <w:numPr>
          <w:ilvl w:val="2"/>
          <w:numId w:val="1"/>
        </w:numPr>
        <w:pBdr>
          <w:top w:val="nil"/>
          <w:left w:val="nil"/>
          <w:bottom w:val="nil"/>
          <w:right w:val="nil"/>
          <w:between w:val="nil"/>
        </w:pBdr>
        <w:spacing w:before="20" w:after="20" w:line="276" w:lineRule="auto"/>
        <w:rPr>
          <w:rFonts w:ascii="Arial" w:eastAsia="Arial" w:hAnsi="Arial" w:cs="Arial"/>
          <w:color w:val="FF0000"/>
        </w:rPr>
      </w:pPr>
      <w:r w:rsidRPr="002D07AE">
        <w:rPr>
          <w:rFonts w:ascii="Arial" w:eastAsia="Arial" w:hAnsi="Arial" w:cs="Arial"/>
          <w:color w:val="FF0000"/>
        </w:rPr>
        <w:t xml:space="preserve">The IRB Chair may take interim action on notifications of apparent </w:t>
      </w:r>
      <w:r w:rsidRPr="002D07AE">
        <w:rPr>
          <w:rFonts w:ascii="Arial" w:eastAsia="Arial" w:hAnsi="Arial" w:cs="Arial"/>
          <w:color w:val="FF0000"/>
          <w:u w:val="single"/>
        </w:rPr>
        <w:t>Unanticipated Problems Involving Risks to Subjects or Others, Serious Non-Compliance</w:t>
      </w:r>
      <w:r w:rsidRPr="002D07AE">
        <w:rPr>
          <w:rFonts w:ascii="Arial" w:eastAsia="Arial" w:hAnsi="Arial" w:cs="Arial"/>
          <w:color w:val="FF0000"/>
        </w:rPr>
        <w:t xml:space="preserve"> or </w:t>
      </w:r>
      <w:r w:rsidRPr="002D07AE">
        <w:rPr>
          <w:rFonts w:ascii="Arial" w:eastAsia="Arial" w:hAnsi="Arial" w:cs="Arial"/>
          <w:color w:val="FF0000"/>
          <w:u w:val="single"/>
        </w:rPr>
        <w:t>Continuing Non-Compliance</w:t>
      </w:r>
      <w:r w:rsidRPr="002D07AE">
        <w:rPr>
          <w:rFonts w:ascii="Arial" w:eastAsia="Arial" w:hAnsi="Arial" w:cs="Arial"/>
          <w:color w:val="FF0000"/>
        </w:rPr>
        <w:t xml:space="preserve"> as needed to eliminate apparent immediate hazards to subjects.</w:t>
      </w:r>
    </w:p>
    <w:p w14:paraId="0D5E9C0A" w14:textId="77777777" w:rsidR="00F37DD6" w:rsidRPr="002D07AE" w:rsidRDefault="0032229F">
      <w:pPr>
        <w:numPr>
          <w:ilvl w:val="2"/>
          <w:numId w:val="1"/>
        </w:numPr>
        <w:pBdr>
          <w:top w:val="nil"/>
          <w:left w:val="nil"/>
          <w:bottom w:val="nil"/>
          <w:right w:val="nil"/>
          <w:between w:val="nil"/>
        </w:pBdr>
        <w:spacing w:before="20" w:after="20" w:line="276" w:lineRule="auto"/>
        <w:rPr>
          <w:rFonts w:ascii="Arial" w:eastAsia="Arial" w:hAnsi="Arial" w:cs="Arial"/>
          <w:color w:val="FF0000"/>
        </w:rPr>
      </w:pPr>
      <w:r w:rsidRPr="002D07AE">
        <w:rPr>
          <w:rFonts w:ascii="Arial" w:eastAsia="Arial" w:hAnsi="Arial" w:cs="Arial"/>
          <w:color w:val="FF0000"/>
        </w:rPr>
        <w:lastRenderedPageBreak/>
        <w:t xml:space="preserve">For </w:t>
      </w:r>
      <w:r w:rsidRPr="002D07AE">
        <w:rPr>
          <w:rFonts w:ascii="Arial" w:eastAsia="Arial" w:hAnsi="Arial" w:cs="Arial"/>
          <w:color w:val="FF0000"/>
          <w:u w:val="single"/>
        </w:rPr>
        <w:t>Unanticipated Problems Involving Risks to Subjects or Others</w:t>
      </w:r>
      <w:r w:rsidRPr="002D07AE">
        <w:rPr>
          <w:rFonts w:ascii="Arial" w:eastAsia="Arial" w:hAnsi="Arial" w:cs="Arial"/>
          <w:color w:val="FF0000"/>
        </w:rPr>
        <w:t xml:space="preserve"> that are local research deaths, they must be reported orally to the IRB immediately upon becoming aware of the information.</w:t>
      </w:r>
    </w:p>
    <w:p w14:paraId="0D5E9C0B" w14:textId="77777777" w:rsidR="00F37DD6" w:rsidRPr="002D07AE" w:rsidRDefault="0032229F">
      <w:pPr>
        <w:numPr>
          <w:ilvl w:val="2"/>
          <w:numId w:val="1"/>
        </w:numPr>
        <w:pBdr>
          <w:top w:val="nil"/>
          <w:left w:val="nil"/>
          <w:bottom w:val="nil"/>
          <w:right w:val="nil"/>
          <w:between w:val="nil"/>
        </w:pBdr>
        <w:spacing w:before="20" w:after="20" w:line="276" w:lineRule="auto"/>
        <w:rPr>
          <w:rFonts w:ascii="Arial" w:eastAsia="Arial" w:hAnsi="Arial" w:cs="Arial"/>
          <w:color w:val="FF0000"/>
        </w:rPr>
      </w:pPr>
      <w:r w:rsidRPr="002D07AE">
        <w:rPr>
          <w:rFonts w:ascii="Arial" w:eastAsia="Arial" w:hAnsi="Arial" w:cs="Arial"/>
          <w:color w:val="FF0000"/>
        </w:rPr>
        <w:t xml:space="preserve">An apparent unexpected </w:t>
      </w:r>
      <w:r w:rsidRPr="002D07AE">
        <w:rPr>
          <w:rFonts w:ascii="Arial" w:eastAsia="Arial" w:hAnsi="Arial" w:cs="Arial"/>
          <w:color w:val="FF0000"/>
          <w:u w:val="single"/>
        </w:rPr>
        <w:t>Serious Adverse Event</w:t>
      </w:r>
      <w:r w:rsidRPr="002D07AE">
        <w:rPr>
          <w:rFonts w:ascii="Arial" w:eastAsia="Arial" w:hAnsi="Arial" w:cs="Arial"/>
          <w:color w:val="FF0000"/>
        </w:rPr>
        <w:t xml:space="preserve"> (SAE) that is related or possibly related to participation in human subjects research constitutes an apparent </w:t>
      </w:r>
      <w:r w:rsidRPr="002D07AE">
        <w:rPr>
          <w:rFonts w:ascii="Arial" w:eastAsia="Arial" w:hAnsi="Arial" w:cs="Arial"/>
          <w:color w:val="FF0000"/>
          <w:u w:val="single"/>
        </w:rPr>
        <w:t>Unanticipated Problems Involving Risks to Subjects or Others.</w:t>
      </w:r>
    </w:p>
    <w:p w14:paraId="0D5E9C0C" w14:textId="77777777" w:rsidR="00F37DD6" w:rsidRPr="002D07AE" w:rsidRDefault="0032229F">
      <w:pPr>
        <w:numPr>
          <w:ilvl w:val="2"/>
          <w:numId w:val="1"/>
        </w:numPr>
        <w:pBdr>
          <w:top w:val="nil"/>
          <w:left w:val="nil"/>
          <w:bottom w:val="nil"/>
          <w:right w:val="nil"/>
          <w:between w:val="nil"/>
        </w:pBdr>
        <w:spacing w:before="20" w:after="20" w:line="276" w:lineRule="auto"/>
        <w:rPr>
          <w:rFonts w:ascii="Arial" w:eastAsia="Arial" w:hAnsi="Arial" w:cs="Arial"/>
          <w:color w:val="FF0000"/>
        </w:rPr>
      </w:pPr>
      <w:r w:rsidRPr="002D07AE">
        <w:rPr>
          <w:rFonts w:ascii="Arial" w:eastAsia="Arial" w:hAnsi="Arial" w:cs="Arial"/>
          <w:color w:val="FF0000"/>
        </w:rPr>
        <w:t xml:space="preserve">Except where remediation requires substantial renovation or fiscal expenditure, hiring, legal negotiations, or other extenuating circumstances, remedial actions must be completed within 180 calendar days after any determination of </w:t>
      </w:r>
      <w:r w:rsidRPr="002D07AE">
        <w:rPr>
          <w:rFonts w:ascii="Arial" w:eastAsia="Arial" w:hAnsi="Arial" w:cs="Arial"/>
          <w:color w:val="FF0000"/>
          <w:u w:val="single"/>
        </w:rPr>
        <w:t>Non-Compliance.</w:t>
      </w:r>
    </w:p>
    <w:p w14:paraId="0D5E9C0D" w14:textId="77777777" w:rsidR="00F37DD6" w:rsidRPr="002D07AE" w:rsidRDefault="0032229F">
      <w:pPr>
        <w:numPr>
          <w:ilvl w:val="1"/>
          <w:numId w:val="1"/>
        </w:numPr>
        <w:pBdr>
          <w:top w:val="nil"/>
          <w:left w:val="nil"/>
          <w:bottom w:val="nil"/>
          <w:right w:val="nil"/>
          <w:between w:val="nil"/>
        </w:pBdr>
        <w:spacing w:before="20" w:after="20" w:line="276" w:lineRule="auto"/>
        <w:rPr>
          <w:rFonts w:ascii="Arial" w:eastAsia="Arial" w:hAnsi="Arial" w:cs="Arial"/>
        </w:rPr>
      </w:pPr>
      <w:r w:rsidRPr="002D07AE">
        <w:rPr>
          <w:rFonts w:ascii="Arial" w:eastAsia="Arial" w:hAnsi="Arial" w:cs="Arial"/>
        </w:rPr>
        <w:t>Requests to lift a suspension of IRB approval are reviewed by the convened IRB to determine whether all corrective actions are met.</w:t>
      </w:r>
    </w:p>
    <w:p w14:paraId="0D5E9C0E" w14:textId="77777777" w:rsidR="00F37DD6" w:rsidRDefault="00F37DD6">
      <w:pPr>
        <w:pBdr>
          <w:top w:val="nil"/>
          <w:left w:val="nil"/>
          <w:bottom w:val="nil"/>
          <w:right w:val="nil"/>
          <w:between w:val="nil"/>
        </w:pBdr>
        <w:spacing w:before="20" w:after="20" w:line="276" w:lineRule="auto"/>
        <w:ind w:left="576"/>
        <w:rPr>
          <w:rFonts w:ascii="Arial" w:eastAsia="Arial" w:hAnsi="Arial" w:cs="Arial"/>
          <w:color w:val="000000"/>
        </w:rPr>
      </w:pPr>
    </w:p>
    <w:p w14:paraId="0D5E9C0F" w14:textId="77777777" w:rsidR="00F37DD6" w:rsidRDefault="0032229F">
      <w:pPr>
        <w:numPr>
          <w:ilvl w:val="0"/>
          <w:numId w:val="1"/>
        </w:numPr>
        <w:pBdr>
          <w:top w:val="nil"/>
          <w:left w:val="nil"/>
          <w:bottom w:val="nil"/>
          <w:right w:val="nil"/>
          <w:between w:val="nil"/>
        </w:pBdr>
        <w:spacing w:before="40" w:after="40" w:line="276" w:lineRule="auto"/>
        <w:rPr>
          <w:rFonts w:ascii="Arial" w:eastAsia="Arial" w:hAnsi="Arial" w:cs="Arial"/>
          <w:b/>
          <w:color w:val="000000"/>
        </w:rPr>
      </w:pPr>
      <w:r>
        <w:rPr>
          <w:rFonts w:ascii="Arial" w:eastAsia="Arial" w:hAnsi="Arial" w:cs="Arial"/>
          <w:b/>
          <w:color w:val="000000"/>
        </w:rPr>
        <w:t>RESPONSIBILITIES</w:t>
      </w:r>
    </w:p>
    <w:p w14:paraId="0D5E9C10" w14:textId="77777777" w:rsidR="00F37DD6" w:rsidRDefault="0032229F">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The IRB staff members carry out this procedure.</w:t>
      </w:r>
    </w:p>
    <w:p w14:paraId="0D5E9C11" w14:textId="77777777" w:rsidR="00F37DD6" w:rsidRDefault="0032229F">
      <w:pPr>
        <w:numPr>
          <w:ilvl w:val="0"/>
          <w:numId w:val="1"/>
        </w:numPr>
        <w:pBdr>
          <w:top w:val="nil"/>
          <w:left w:val="nil"/>
          <w:bottom w:val="nil"/>
          <w:right w:val="nil"/>
          <w:between w:val="nil"/>
        </w:pBdr>
        <w:spacing w:before="40" w:after="40" w:line="276" w:lineRule="auto"/>
        <w:rPr>
          <w:rFonts w:ascii="Arial" w:eastAsia="Arial" w:hAnsi="Arial" w:cs="Arial"/>
          <w:b/>
          <w:color w:val="000000"/>
        </w:rPr>
      </w:pPr>
      <w:r>
        <w:rPr>
          <w:rFonts w:ascii="Arial" w:eastAsia="Arial" w:hAnsi="Arial" w:cs="Arial"/>
          <w:b/>
          <w:color w:val="000000"/>
        </w:rPr>
        <w:t>PROCEDURE</w:t>
      </w:r>
    </w:p>
    <w:p w14:paraId="0D5E9C12" w14:textId="77777777" w:rsidR="00F37DD6" w:rsidRDefault="0032229F">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Review each item of information and answer the following questions: (</w:t>
      </w:r>
      <w:r>
        <w:rPr>
          <w:rFonts w:ascii="Arial" w:eastAsia="Arial" w:hAnsi="Arial" w:cs="Arial"/>
          <w:i/>
          <w:color w:val="000000"/>
        </w:rPr>
        <w:t>See attached flowchart for a diagram of the flow of this procedure</w:t>
      </w:r>
      <w:r>
        <w:rPr>
          <w:rFonts w:ascii="Arial" w:eastAsia="Arial" w:hAnsi="Arial" w:cs="Arial"/>
          <w:color w:val="000000"/>
        </w:rPr>
        <w:t>.)</w:t>
      </w:r>
    </w:p>
    <w:p w14:paraId="0D5E9C13" w14:textId="77777777" w:rsidR="00F37DD6" w:rsidRDefault="0032229F">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Is this an </w:t>
      </w:r>
      <w:r>
        <w:rPr>
          <w:rFonts w:ascii="Arial" w:eastAsia="Arial" w:hAnsi="Arial" w:cs="Arial"/>
          <w:color w:val="000000"/>
          <w:u w:val="single"/>
        </w:rPr>
        <w:t>Allegation of Non-Compliance</w:t>
      </w:r>
      <w:r>
        <w:rPr>
          <w:rFonts w:ascii="Arial" w:eastAsia="Arial" w:hAnsi="Arial" w:cs="Arial"/>
          <w:color w:val="000000"/>
        </w:rPr>
        <w:t>?</w:t>
      </w:r>
    </w:p>
    <w:p w14:paraId="0D5E9C14" w14:textId="77777777" w:rsidR="00F37DD6" w:rsidRDefault="0032229F">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Is this a </w:t>
      </w:r>
      <w:r>
        <w:rPr>
          <w:rFonts w:ascii="Arial" w:eastAsia="Arial" w:hAnsi="Arial" w:cs="Arial"/>
          <w:color w:val="000000"/>
          <w:u w:val="single"/>
        </w:rPr>
        <w:t>Finding of Non-Compliance</w:t>
      </w:r>
      <w:r>
        <w:rPr>
          <w:rFonts w:ascii="Arial" w:eastAsia="Arial" w:hAnsi="Arial" w:cs="Arial"/>
          <w:color w:val="000000"/>
        </w:rPr>
        <w:t>?</w:t>
      </w:r>
    </w:p>
    <w:p w14:paraId="0D5E9C15" w14:textId="77777777" w:rsidR="00F37DD6" w:rsidRDefault="0032229F">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Is this an </w:t>
      </w:r>
      <w:r>
        <w:rPr>
          <w:rFonts w:ascii="Arial" w:eastAsia="Arial" w:hAnsi="Arial" w:cs="Arial"/>
          <w:color w:val="000000"/>
          <w:u w:val="single"/>
        </w:rPr>
        <w:t>Unanticipated Problem Involving Risks to Subjects or Others</w:t>
      </w:r>
      <w:r>
        <w:rPr>
          <w:rFonts w:ascii="Arial" w:eastAsia="Arial" w:hAnsi="Arial" w:cs="Arial"/>
          <w:color w:val="000000"/>
        </w:rPr>
        <w:t>?</w:t>
      </w:r>
    </w:p>
    <w:p w14:paraId="0D5E9C16" w14:textId="77777777" w:rsidR="00F37DD6" w:rsidRDefault="0032229F">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Is this a </w:t>
      </w:r>
      <w:r>
        <w:rPr>
          <w:rFonts w:ascii="Arial" w:eastAsia="Arial" w:hAnsi="Arial" w:cs="Arial"/>
          <w:color w:val="000000"/>
          <w:u w:val="single"/>
        </w:rPr>
        <w:t>Suspension of IRB Approval</w:t>
      </w:r>
      <w:r>
        <w:rPr>
          <w:rFonts w:ascii="Arial" w:eastAsia="Arial" w:hAnsi="Arial" w:cs="Arial"/>
          <w:color w:val="000000"/>
        </w:rPr>
        <w:t xml:space="preserve"> or </w:t>
      </w:r>
      <w:r>
        <w:rPr>
          <w:rFonts w:ascii="Arial" w:eastAsia="Arial" w:hAnsi="Arial" w:cs="Arial"/>
          <w:color w:val="000000"/>
          <w:u w:val="single"/>
        </w:rPr>
        <w:t>Termination of IRB Approval</w:t>
      </w:r>
      <w:r>
        <w:rPr>
          <w:rFonts w:ascii="Arial" w:eastAsia="Arial" w:hAnsi="Arial" w:cs="Arial"/>
          <w:color w:val="000000"/>
        </w:rPr>
        <w:t>?</w:t>
      </w:r>
    </w:p>
    <w:p w14:paraId="0D5E9C17" w14:textId="77777777" w:rsidR="00F37DD6" w:rsidRDefault="0032229F">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If you are unable to answer a question, consult the IRB chair or IRB manager.</w:t>
      </w:r>
    </w:p>
    <w:p w14:paraId="0D5E9C18" w14:textId="77777777" w:rsidR="00F37DD6" w:rsidRDefault="0032229F">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If the IRB chair and IRB manager are unable to answer a question, follow HRP-025 - SOP - Investigations.</w:t>
      </w:r>
    </w:p>
    <w:p w14:paraId="0D5E9C19" w14:textId="77777777" w:rsidR="00F37DD6" w:rsidRDefault="0032229F">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If the answer is “yes” to one or more questions, then follow the corresponding sections below.</w:t>
      </w:r>
    </w:p>
    <w:p w14:paraId="0D5E9C1A" w14:textId="77777777" w:rsidR="00F37DD6" w:rsidRDefault="0032229F">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u w:val="single"/>
        </w:rPr>
        <w:t>Allegations of Non-Compliance</w:t>
      </w:r>
      <w:r>
        <w:rPr>
          <w:rFonts w:ascii="Arial" w:eastAsia="Arial" w:hAnsi="Arial" w:cs="Arial"/>
          <w:color w:val="000000"/>
        </w:rPr>
        <w:t>: Determine whether each Allegation of Non-Compliance has any basis in fact.</w:t>
      </w:r>
    </w:p>
    <w:p w14:paraId="0D5E9C1B" w14:textId="77777777" w:rsidR="00F37DD6" w:rsidRDefault="0032229F">
      <w:pPr>
        <w:numPr>
          <w:ilvl w:val="3"/>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If yes, follow the procedures under </w:t>
      </w:r>
      <w:r>
        <w:rPr>
          <w:rFonts w:ascii="Arial" w:eastAsia="Arial" w:hAnsi="Arial" w:cs="Arial"/>
          <w:color w:val="000000"/>
          <w:u w:val="single"/>
        </w:rPr>
        <w:t>Findings of Non-Compliance</w:t>
      </w:r>
      <w:r>
        <w:rPr>
          <w:rFonts w:ascii="Arial" w:eastAsia="Arial" w:hAnsi="Arial" w:cs="Arial"/>
          <w:color w:val="000000"/>
        </w:rPr>
        <w:t>.</w:t>
      </w:r>
    </w:p>
    <w:p w14:paraId="0D5E9C1C" w14:textId="77777777" w:rsidR="00F37DD6" w:rsidRDefault="0032229F">
      <w:pPr>
        <w:numPr>
          <w:ilvl w:val="3"/>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If no, follow any other corresponding sections.</w:t>
      </w:r>
    </w:p>
    <w:p w14:paraId="0D5E9C1D" w14:textId="77777777" w:rsidR="00F37DD6" w:rsidRDefault="0032229F">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u w:val="single"/>
        </w:rPr>
        <w:t>Findings of Non-Compliance</w:t>
      </w:r>
      <w:r>
        <w:rPr>
          <w:rFonts w:ascii="Arial" w:eastAsia="Arial" w:hAnsi="Arial" w:cs="Arial"/>
          <w:color w:val="000000"/>
        </w:rPr>
        <w:t xml:space="preserve">: Determine whether each </w:t>
      </w:r>
      <w:r>
        <w:rPr>
          <w:rFonts w:ascii="Arial" w:eastAsia="Arial" w:hAnsi="Arial" w:cs="Arial"/>
          <w:color w:val="000000"/>
          <w:u w:val="single"/>
        </w:rPr>
        <w:t>Finding of Non-Compliance</w:t>
      </w:r>
      <w:r>
        <w:rPr>
          <w:rFonts w:ascii="Arial" w:eastAsia="Arial" w:hAnsi="Arial" w:cs="Arial"/>
          <w:color w:val="000000"/>
        </w:rPr>
        <w:t xml:space="preserve"> is </w:t>
      </w:r>
      <w:r>
        <w:rPr>
          <w:rFonts w:ascii="Arial" w:eastAsia="Arial" w:hAnsi="Arial" w:cs="Arial"/>
          <w:color w:val="000000"/>
          <w:u w:val="single"/>
        </w:rPr>
        <w:t>Serious Non-Compliance</w:t>
      </w:r>
      <w:r>
        <w:rPr>
          <w:rFonts w:ascii="Arial" w:eastAsia="Arial" w:hAnsi="Arial" w:cs="Arial"/>
          <w:color w:val="000000"/>
        </w:rPr>
        <w:t xml:space="preserve"> or </w:t>
      </w:r>
      <w:r>
        <w:rPr>
          <w:rFonts w:ascii="Arial" w:eastAsia="Arial" w:hAnsi="Arial" w:cs="Arial"/>
          <w:color w:val="000000"/>
          <w:u w:val="single"/>
        </w:rPr>
        <w:t>Continuing Non-Compliance</w:t>
      </w:r>
      <w:r>
        <w:rPr>
          <w:rFonts w:ascii="Arial" w:eastAsia="Arial" w:hAnsi="Arial" w:cs="Arial"/>
          <w:color w:val="000000"/>
        </w:rPr>
        <w:t>.</w:t>
      </w:r>
    </w:p>
    <w:p w14:paraId="0D5E9C1E" w14:textId="77777777" w:rsidR="00F37DD6" w:rsidRDefault="0032229F">
      <w:pPr>
        <w:numPr>
          <w:ilvl w:val="3"/>
          <w:numId w:val="1"/>
        </w:numPr>
        <w:pBdr>
          <w:top w:val="nil"/>
          <w:left w:val="nil"/>
          <w:bottom w:val="nil"/>
          <w:right w:val="nil"/>
          <w:between w:val="nil"/>
        </w:pBdr>
        <w:spacing w:before="20" w:after="20" w:line="276" w:lineRule="auto"/>
        <w:rPr>
          <w:rFonts w:ascii="Arial" w:eastAsia="Arial" w:hAnsi="Arial" w:cs="Arial"/>
          <w:color w:val="000000"/>
          <w:u w:val="single"/>
        </w:rPr>
      </w:pPr>
      <w:r>
        <w:rPr>
          <w:rFonts w:ascii="Arial" w:eastAsia="Arial" w:hAnsi="Arial" w:cs="Arial"/>
          <w:color w:val="000000"/>
        </w:rPr>
        <w:t xml:space="preserve">If no, follow the procedures under </w:t>
      </w:r>
      <w:r>
        <w:rPr>
          <w:rFonts w:ascii="Arial" w:eastAsia="Arial" w:hAnsi="Arial" w:cs="Arial"/>
          <w:color w:val="000000"/>
          <w:u w:val="single"/>
        </w:rPr>
        <w:t>Non-Serious/Non-Continuing Non-Compliance.</w:t>
      </w:r>
    </w:p>
    <w:p w14:paraId="0D5E9C1F" w14:textId="77777777" w:rsidR="00F37DD6" w:rsidRDefault="0032229F">
      <w:pPr>
        <w:numPr>
          <w:ilvl w:val="3"/>
          <w:numId w:val="1"/>
        </w:numPr>
        <w:pBdr>
          <w:top w:val="nil"/>
          <w:left w:val="nil"/>
          <w:bottom w:val="nil"/>
          <w:right w:val="nil"/>
          <w:between w:val="nil"/>
        </w:pBdr>
        <w:spacing w:before="20" w:after="20" w:line="276" w:lineRule="auto"/>
        <w:rPr>
          <w:rFonts w:ascii="Arial" w:eastAsia="Arial" w:hAnsi="Arial" w:cs="Arial"/>
          <w:color w:val="000000"/>
          <w:u w:val="single"/>
        </w:rPr>
      </w:pPr>
      <w:r>
        <w:rPr>
          <w:rFonts w:ascii="Arial" w:eastAsia="Arial" w:hAnsi="Arial" w:cs="Arial"/>
          <w:color w:val="000000"/>
        </w:rPr>
        <w:t xml:space="preserve">If yes, follow the procedures under </w:t>
      </w:r>
      <w:r>
        <w:rPr>
          <w:rFonts w:ascii="Arial" w:eastAsia="Arial" w:hAnsi="Arial" w:cs="Arial"/>
          <w:color w:val="000000"/>
          <w:u w:val="single"/>
        </w:rPr>
        <w:t>Serious or Continuing Non-Compliance.</w:t>
      </w:r>
    </w:p>
    <w:p w14:paraId="0D5E9C20" w14:textId="77777777" w:rsidR="00F37DD6" w:rsidRDefault="0032229F">
      <w:pPr>
        <w:numPr>
          <w:ilvl w:val="2"/>
          <w:numId w:val="1"/>
        </w:numPr>
        <w:pBdr>
          <w:top w:val="nil"/>
          <w:left w:val="nil"/>
          <w:bottom w:val="nil"/>
          <w:right w:val="nil"/>
          <w:between w:val="nil"/>
        </w:pBdr>
        <w:spacing w:before="20" w:after="20" w:line="276" w:lineRule="auto"/>
        <w:rPr>
          <w:rFonts w:ascii="Arial" w:eastAsia="Arial" w:hAnsi="Arial" w:cs="Arial"/>
          <w:color w:val="000000"/>
          <w:u w:val="single"/>
        </w:rPr>
      </w:pPr>
      <w:r>
        <w:rPr>
          <w:rFonts w:ascii="Arial" w:eastAsia="Arial" w:hAnsi="Arial" w:cs="Arial"/>
          <w:color w:val="000000"/>
          <w:u w:val="single"/>
        </w:rPr>
        <w:t>Non-Serious/Non-Continuing Non-Compliance</w:t>
      </w:r>
    </w:p>
    <w:p w14:paraId="0D5E9C21" w14:textId="77777777" w:rsidR="00F37DD6" w:rsidRDefault="0032229F">
      <w:pPr>
        <w:numPr>
          <w:ilvl w:val="3"/>
          <w:numId w:val="1"/>
        </w:numPr>
        <w:pBdr>
          <w:top w:val="nil"/>
          <w:left w:val="nil"/>
          <w:bottom w:val="nil"/>
          <w:right w:val="nil"/>
          <w:between w:val="nil"/>
        </w:pBdr>
        <w:spacing w:before="20" w:after="20" w:line="276" w:lineRule="auto"/>
      </w:pPr>
      <w:r>
        <w:rPr>
          <w:rFonts w:ascii="Arial" w:eastAsia="Arial" w:hAnsi="Arial" w:cs="Arial"/>
          <w:color w:val="000000"/>
        </w:rPr>
        <w:t xml:space="preserve">Determine whether the individual or group responsible for the </w:t>
      </w:r>
      <w:r>
        <w:rPr>
          <w:rFonts w:ascii="Arial" w:eastAsia="Arial" w:hAnsi="Arial" w:cs="Arial"/>
          <w:color w:val="000000"/>
          <w:u w:val="single"/>
        </w:rPr>
        <w:t>Non-Compliance</w:t>
      </w:r>
      <w:r>
        <w:rPr>
          <w:rFonts w:ascii="Arial" w:eastAsia="Arial" w:hAnsi="Arial" w:cs="Arial"/>
          <w:color w:val="000000"/>
        </w:rPr>
        <w:t xml:space="preserve"> has developed and implemented a suitable corrective action plan.</w:t>
      </w:r>
    </w:p>
    <w:p w14:paraId="0D5E9C22" w14:textId="77777777" w:rsidR="00F37DD6" w:rsidRDefault="0032229F">
      <w:pPr>
        <w:numPr>
          <w:ilvl w:val="3"/>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If the individual or group responsible for the </w:t>
      </w:r>
      <w:r>
        <w:rPr>
          <w:rFonts w:ascii="Arial" w:eastAsia="Arial" w:hAnsi="Arial" w:cs="Arial"/>
          <w:color w:val="000000"/>
          <w:u w:val="single"/>
        </w:rPr>
        <w:t>Non-Compliance is unwilling or unable</w:t>
      </w:r>
      <w:r>
        <w:rPr>
          <w:rFonts w:ascii="Arial" w:eastAsia="Arial" w:hAnsi="Arial" w:cs="Arial"/>
          <w:color w:val="000000"/>
        </w:rPr>
        <w:t xml:space="preserve"> to develop and implement a suitable corrective action plan, consider the </w:t>
      </w:r>
      <w:r>
        <w:rPr>
          <w:rFonts w:ascii="Arial" w:eastAsia="Arial" w:hAnsi="Arial" w:cs="Arial"/>
          <w:color w:val="000000"/>
          <w:u w:val="single"/>
        </w:rPr>
        <w:t>Non-Compliance</w:t>
      </w:r>
      <w:r>
        <w:rPr>
          <w:rFonts w:ascii="Arial" w:eastAsia="Arial" w:hAnsi="Arial" w:cs="Arial"/>
          <w:color w:val="000000"/>
        </w:rPr>
        <w:t xml:space="preserve"> to be </w:t>
      </w:r>
      <w:r>
        <w:rPr>
          <w:rFonts w:ascii="Arial" w:eastAsia="Arial" w:hAnsi="Arial" w:cs="Arial"/>
          <w:color w:val="000000"/>
          <w:u w:val="single"/>
        </w:rPr>
        <w:t>Continuing Non-Compliance</w:t>
      </w:r>
      <w:r>
        <w:rPr>
          <w:rFonts w:ascii="Arial" w:eastAsia="Arial" w:hAnsi="Arial" w:cs="Arial"/>
          <w:color w:val="000000"/>
        </w:rPr>
        <w:t xml:space="preserve"> and follow the procedures for </w:t>
      </w:r>
      <w:r>
        <w:rPr>
          <w:rFonts w:ascii="Arial" w:eastAsia="Arial" w:hAnsi="Arial" w:cs="Arial"/>
          <w:color w:val="000000"/>
          <w:u w:val="single"/>
        </w:rPr>
        <w:t>Serious or Continuing Non-Compliance</w:t>
      </w:r>
      <w:r>
        <w:rPr>
          <w:rFonts w:ascii="Arial" w:eastAsia="Arial" w:hAnsi="Arial" w:cs="Arial"/>
          <w:color w:val="000000"/>
        </w:rPr>
        <w:t>.</w:t>
      </w:r>
    </w:p>
    <w:p w14:paraId="0D5E9C23" w14:textId="77777777" w:rsidR="00F37DD6" w:rsidRDefault="0032229F">
      <w:pPr>
        <w:numPr>
          <w:ilvl w:val="2"/>
          <w:numId w:val="1"/>
        </w:numPr>
        <w:pBdr>
          <w:top w:val="nil"/>
          <w:left w:val="nil"/>
          <w:bottom w:val="nil"/>
          <w:right w:val="nil"/>
          <w:between w:val="nil"/>
        </w:pBdr>
        <w:spacing w:before="20" w:after="20" w:line="276" w:lineRule="auto"/>
        <w:rPr>
          <w:rFonts w:ascii="Arial" w:eastAsia="Arial" w:hAnsi="Arial" w:cs="Arial"/>
          <w:color w:val="000000"/>
          <w:u w:val="single"/>
        </w:rPr>
      </w:pPr>
      <w:r>
        <w:rPr>
          <w:rFonts w:ascii="Arial" w:eastAsia="Arial" w:hAnsi="Arial" w:cs="Arial"/>
          <w:color w:val="000000"/>
          <w:u w:val="single"/>
        </w:rPr>
        <w:t>Serious Non-Compliance</w:t>
      </w:r>
      <w:r>
        <w:rPr>
          <w:rFonts w:ascii="Arial" w:eastAsia="Arial" w:hAnsi="Arial" w:cs="Arial"/>
          <w:color w:val="000000"/>
        </w:rPr>
        <w:t xml:space="preserve">; </w:t>
      </w:r>
      <w:r>
        <w:rPr>
          <w:rFonts w:ascii="Arial" w:eastAsia="Arial" w:hAnsi="Arial" w:cs="Arial"/>
          <w:color w:val="000000"/>
          <w:u w:val="single"/>
        </w:rPr>
        <w:t>Continuing Non-Compliance</w:t>
      </w:r>
      <w:r>
        <w:rPr>
          <w:rFonts w:ascii="Arial" w:eastAsia="Arial" w:hAnsi="Arial" w:cs="Arial"/>
          <w:color w:val="000000"/>
        </w:rPr>
        <w:t xml:space="preserve">; </w:t>
      </w:r>
      <w:r>
        <w:rPr>
          <w:rFonts w:ascii="Arial" w:eastAsia="Arial" w:hAnsi="Arial" w:cs="Arial"/>
          <w:color w:val="000000"/>
          <w:u w:val="single"/>
        </w:rPr>
        <w:t>Suspension of IRB Approval</w:t>
      </w:r>
      <w:r>
        <w:rPr>
          <w:rFonts w:ascii="Arial" w:eastAsia="Arial" w:hAnsi="Arial" w:cs="Arial"/>
          <w:color w:val="000000"/>
        </w:rPr>
        <w:t xml:space="preserve">; </w:t>
      </w:r>
      <w:r>
        <w:rPr>
          <w:rFonts w:ascii="Arial" w:eastAsia="Arial" w:hAnsi="Arial" w:cs="Arial"/>
          <w:color w:val="000000"/>
          <w:u w:val="single"/>
        </w:rPr>
        <w:t>Termination of IRB Approval</w:t>
      </w:r>
      <w:r>
        <w:rPr>
          <w:rFonts w:ascii="Arial" w:eastAsia="Arial" w:hAnsi="Arial" w:cs="Arial"/>
          <w:color w:val="000000"/>
        </w:rPr>
        <w:t xml:space="preserve">; or </w:t>
      </w:r>
      <w:r>
        <w:rPr>
          <w:rFonts w:ascii="Arial" w:eastAsia="Arial" w:hAnsi="Arial" w:cs="Arial"/>
          <w:color w:val="000000"/>
          <w:u w:val="single"/>
        </w:rPr>
        <w:t>Unanticipated Problem Involving Risks to Subjects or Others</w:t>
      </w:r>
    </w:p>
    <w:p w14:paraId="0D5E9C24" w14:textId="77777777" w:rsidR="00F37DD6" w:rsidRDefault="0032229F">
      <w:pPr>
        <w:numPr>
          <w:ilvl w:val="3"/>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If the notification involves enrollment of a </w:t>
      </w:r>
      <w:r>
        <w:rPr>
          <w:rFonts w:ascii="Arial" w:eastAsia="Arial" w:hAnsi="Arial" w:cs="Arial"/>
          <w:color w:val="000000"/>
          <w:u w:val="single"/>
        </w:rPr>
        <w:t>Prisoner</w:t>
      </w:r>
      <w:r>
        <w:rPr>
          <w:rFonts w:ascii="Arial" w:eastAsia="Arial" w:hAnsi="Arial" w:cs="Arial"/>
          <w:color w:val="000000"/>
        </w:rPr>
        <w:t xml:space="preserve"> in a study not approved to enroll </w:t>
      </w:r>
      <w:r>
        <w:rPr>
          <w:rFonts w:ascii="Arial" w:eastAsia="Arial" w:hAnsi="Arial" w:cs="Arial"/>
          <w:color w:val="000000"/>
          <w:u w:val="single"/>
        </w:rPr>
        <w:t>Prisoners</w:t>
      </w:r>
      <w:r>
        <w:rPr>
          <w:rFonts w:ascii="Arial" w:eastAsia="Arial" w:hAnsi="Arial" w:cs="Arial"/>
          <w:color w:val="000000"/>
        </w:rPr>
        <w:t>, please see below for additional considerations to aid in decision-making.</w:t>
      </w:r>
    </w:p>
    <w:p w14:paraId="0D5E9C25" w14:textId="77777777" w:rsidR="00F37DD6" w:rsidRDefault="0032229F">
      <w:pPr>
        <w:numPr>
          <w:ilvl w:val="3"/>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lastRenderedPageBreak/>
        <w:t>Confirm your decision with the IRB chair or IRB manager.</w:t>
      </w:r>
    </w:p>
    <w:p w14:paraId="0D5E9C26" w14:textId="77777777" w:rsidR="00F37DD6" w:rsidRDefault="0032229F">
      <w:pPr>
        <w:numPr>
          <w:ilvl w:val="3"/>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Place on the agenda for the next available convened IRB meeting in an IRB with appropriate scope as an item of </w:t>
      </w:r>
      <w:r>
        <w:rPr>
          <w:rFonts w:ascii="Arial" w:eastAsia="Arial" w:hAnsi="Arial" w:cs="Arial"/>
          <w:color w:val="000000"/>
          <w:u w:val="single"/>
        </w:rPr>
        <w:t>Serious Non-Compliance</w:t>
      </w:r>
      <w:r>
        <w:rPr>
          <w:rFonts w:ascii="Arial" w:eastAsia="Arial" w:hAnsi="Arial" w:cs="Arial"/>
          <w:color w:val="000000"/>
        </w:rPr>
        <w:t xml:space="preserve">; </w:t>
      </w:r>
      <w:r>
        <w:rPr>
          <w:rFonts w:ascii="Arial" w:eastAsia="Arial" w:hAnsi="Arial" w:cs="Arial"/>
          <w:color w:val="000000"/>
          <w:u w:val="single"/>
        </w:rPr>
        <w:t>Continuing Non-Compliance</w:t>
      </w:r>
      <w:r>
        <w:rPr>
          <w:rFonts w:ascii="Arial" w:eastAsia="Arial" w:hAnsi="Arial" w:cs="Arial"/>
          <w:color w:val="000000"/>
        </w:rPr>
        <w:t xml:space="preserve">; </w:t>
      </w:r>
      <w:r>
        <w:rPr>
          <w:rFonts w:ascii="Arial" w:eastAsia="Arial" w:hAnsi="Arial" w:cs="Arial"/>
          <w:color w:val="000000"/>
          <w:u w:val="single"/>
        </w:rPr>
        <w:t>Suspension of IRB Approval</w:t>
      </w:r>
      <w:r>
        <w:rPr>
          <w:rFonts w:ascii="Arial" w:eastAsia="Arial" w:hAnsi="Arial" w:cs="Arial"/>
          <w:color w:val="000000"/>
        </w:rPr>
        <w:t xml:space="preserve">; </w:t>
      </w:r>
      <w:r>
        <w:rPr>
          <w:rFonts w:ascii="Arial" w:eastAsia="Arial" w:hAnsi="Arial" w:cs="Arial"/>
          <w:color w:val="000000"/>
          <w:u w:val="single"/>
        </w:rPr>
        <w:t>Termination of IRB Approval</w:t>
      </w:r>
      <w:r>
        <w:rPr>
          <w:rFonts w:ascii="Arial" w:eastAsia="Arial" w:hAnsi="Arial" w:cs="Arial"/>
          <w:color w:val="000000"/>
        </w:rPr>
        <w:t xml:space="preserve">; or </w:t>
      </w:r>
      <w:r>
        <w:rPr>
          <w:rFonts w:ascii="Arial" w:eastAsia="Arial" w:hAnsi="Arial" w:cs="Arial"/>
          <w:color w:val="000000"/>
          <w:u w:val="single"/>
        </w:rPr>
        <w:t>Unanticipated Problem Involving Risks to Subjects or Others</w:t>
      </w:r>
      <w:r>
        <w:rPr>
          <w:rFonts w:ascii="Arial" w:eastAsia="Arial" w:hAnsi="Arial" w:cs="Arial"/>
          <w:color w:val="000000"/>
        </w:rPr>
        <w:t xml:space="preserve">. </w:t>
      </w:r>
    </w:p>
    <w:p w14:paraId="0D5E9C27" w14:textId="77777777" w:rsidR="00F37DD6" w:rsidRDefault="0032229F">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If in your opinion the rights and welfare of subjects might be adversely affected before the convened IRB can review the information, contact the IRB chair or IRB manager to consider a Suspension of IRB Approval following the HRP-026 - SOP - Suspension or Termination Issued Outside of Convened IRB.</w:t>
      </w:r>
    </w:p>
    <w:p w14:paraId="0D5E9C28" w14:textId="77777777" w:rsidR="00F37DD6" w:rsidRDefault="0032229F">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If the notification involves a subject becoming a </w:t>
      </w:r>
      <w:r>
        <w:rPr>
          <w:rFonts w:ascii="Arial" w:eastAsia="Arial" w:hAnsi="Arial" w:cs="Arial"/>
          <w:color w:val="000000"/>
          <w:u w:val="single"/>
        </w:rPr>
        <w:t>Prisoner</w:t>
      </w:r>
      <w:r>
        <w:rPr>
          <w:rFonts w:ascii="Arial" w:eastAsia="Arial" w:hAnsi="Arial" w:cs="Arial"/>
          <w:color w:val="000000"/>
        </w:rPr>
        <w:t xml:space="preserve"> in a study not approved by the IRB to involve </w:t>
      </w:r>
      <w:r>
        <w:rPr>
          <w:rFonts w:ascii="Arial" w:eastAsia="Arial" w:hAnsi="Arial" w:cs="Arial"/>
          <w:color w:val="000000"/>
          <w:u w:val="single"/>
        </w:rPr>
        <w:t>Prisoners</w:t>
      </w:r>
      <w:r>
        <w:rPr>
          <w:rFonts w:ascii="Arial" w:eastAsia="Arial" w:hAnsi="Arial" w:cs="Arial"/>
          <w:color w:val="000000"/>
        </w:rPr>
        <w:t xml:space="preserve">: </w:t>
      </w:r>
    </w:p>
    <w:p w14:paraId="0D5E9C29" w14:textId="77777777" w:rsidR="00F37DD6" w:rsidRDefault="0032229F">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Confirm that the subject is currently a </w:t>
      </w:r>
      <w:r>
        <w:rPr>
          <w:rFonts w:ascii="Arial" w:eastAsia="Arial" w:hAnsi="Arial" w:cs="Arial"/>
          <w:color w:val="000000"/>
          <w:u w:val="single"/>
        </w:rPr>
        <w:t>Prisoner.</w:t>
      </w:r>
    </w:p>
    <w:p w14:paraId="0D5E9C2A" w14:textId="77777777" w:rsidR="00F37DD6" w:rsidRDefault="0032229F">
      <w:pPr>
        <w:numPr>
          <w:ilvl w:val="3"/>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If the subject is currently not a </w:t>
      </w:r>
      <w:r>
        <w:rPr>
          <w:rFonts w:ascii="Arial" w:eastAsia="Arial" w:hAnsi="Arial" w:cs="Arial"/>
          <w:color w:val="000000"/>
          <w:u w:val="single"/>
        </w:rPr>
        <w:t>Prisoner</w:t>
      </w:r>
      <w:r>
        <w:rPr>
          <w:rFonts w:ascii="Arial" w:eastAsia="Arial" w:hAnsi="Arial" w:cs="Arial"/>
          <w:color w:val="000000"/>
        </w:rPr>
        <w:t xml:space="preserve"> no other action is required.</w:t>
      </w:r>
    </w:p>
    <w:p w14:paraId="0D5E9C2B" w14:textId="77777777" w:rsidR="00F37DD6" w:rsidRDefault="0032229F">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Consider whether stopping all research interactions and interventions with, and obtaining identifiable private information about, the now-incarcerated subject until the regulatory requirements for research involving </w:t>
      </w:r>
      <w:r>
        <w:rPr>
          <w:rFonts w:ascii="Arial" w:eastAsia="Arial" w:hAnsi="Arial" w:cs="Arial"/>
          <w:color w:val="000000"/>
          <w:u w:val="single"/>
        </w:rPr>
        <w:t>Prisoners</w:t>
      </w:r>
      <w:r>
        <w:rPr>
          <w:rFonts w:ascii="Arial" w:eastAsia="Arial" w:hAnsi="Arial" w:cs="Arial"/>
          <w:color w:val="000000"/>
        </w:rPr>
        <w:t xml:space="preserve"> are met or until the subject is no longer a </w:t>
      </w:r>
      <w:r>
        <w:rPr>
          <w:rFonts w:ascii="Arial" w:eastAsia="Arial" w:hAnsi="Arial" w:cs="Arial"/>
          <w:color w:val="000000"/>
          <w:u w:val="single"/>
        </w:rPr>
        <w:t>Prisoner</w:t>
      </w:r>
      <w:r>
        <w:rPr>
          <w:rFonts w:ascii="Arial" w:eastAsia="Arial" w:hAnsi="Arial" w:cs="Arial"/>
          <w:color w:val="000000"/>
        </w:rPr>
        <w:t xml:space="preserve"> would present risks to the subject.</w:t>
      </w:r>
    </w:p>
    <w:p w14:paraId="0D5E9C2C" w14:textId="77777777" w:rsidR="00F37DD6" w:rsidRDefault="0032229F">
      <w:pPr>
        <w:numPr>
          <w:ilvl w:val="3"/>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If the subject’s involvement in the research cannot be stopped for health or safety reasons, do one of the following:</w:t>
      </w:r>
    </w:p>
    <w:p w14:paraId="0D5E9C2D" w14:textId="77777777" w:rsidR="00F37DD6" w:rsidRDefault="0032229F">
      <w:pPr>
        <w:numPr>
          <w:ilvl w:val="4"/>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Keep the subject enrolled in the study and review the research for involvement of </w:t>
      </w:r>
      <w:r>
        <w:rPr>
          <w:rFonts w:ascii="Arial" w:eastAsia="Arial" w:hAnsi="Arial" w:cs="Arial"/>
          <w:color w:val="000000"/>
          <w:u w:val="single"/>
        </w:rPr>
        <w:t>Prisoners.</w:t>
      </w:r>
      <w:r>
        <w:rPr>
          <w:rFonts w:ascii="Arial" w:eastAsia="Arial" w:hAnsi="Arial" w:cs="Arial"/>
          <w:color w:val="000000"/>
        </w:rPr>
        <w:t xml:space="preserve"> If the research is subject to DHHS oversight, notify OHRP.</w:t>
      </w:r>
    </w:p>
    <w:p w14:paraId="0D5E9C2E" w14:textId="77777777" w:rsidR="00F37DD6" w:rsidRDefault="0032229F">
      <w:pPr>
        <w:numPr>
          <w:ilvl w:val="4"/>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Remove the subject from the study and provide the study intervention as clinical care or compassionate use.</w:t>
      </w:r>
    </w:p>
    <w:p w14:paraId="0D5E9C2F" w14:textId="55DB17B0" w:rsidR="00F37DD6" w:rsidRDefault="0032229F">
      <w:pPr>
        <w:numPr>
          <w:ilvl w:val="3"/>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If the subject’s involvement in the research can be stopped, inform the investigator that all research interactions and interventions with, and obtaining identifiable private information about, the now-incarcerated subject must be stopped immediately until the regulatory requirements for research involving </w:t>
      </w:r>
      <w:r>
        <w:rPr>
          <w:rFonts w:ascii="Arial" w:eastAsia="Arial" w:hAnsi="Arial" w:cs="Arial"/>
          <w:color w:val="000000"/>
          <w:u w:val="single"/>
        </w:rPr>
        <w:t>Prisoners</w:t>
      </w:r>
      <w:r>
        <w:rPr>
          <w:rFonts w:ascii="Arial" w:eastAsia="Arial" w:hAnsi="Arial" w:cs="Arial"/>
          <w:color w:val="000000"/>
        </w:rPr>
        <w:t xml:space="preserve"> are met or until the subject is no longer a </w:t>
      </w:r>
      <w:r>
        <w:rPr>
          <w:rFonts w:ascii="Arial" w:eastAsia="Arial" w:hAnsi="Arial" w:cs="Arial"/>
          <w:color w:val="000000"/>
          <w:u w:val="single"/>
        </w:rPr>
        <w:t>Prisoner</w:t>
      </w:r>
      <w:r w:rsidR="006D18B3">
        <w:rPr>
          <w:rFonts w:ascii="Arial" w:eastAsia="Arial" w:hAnsi="Arial" w:cs="Arial"/>
          <w:color w:val="000000"/>
        </w:rPr>
        <w:t>.</w:t>
      </w:r>
    </w:p>
    <w:p w14:paraId="0D5E9C30" w14:textId="77777777" w:rsidR="00F37DD6" w:rsidRDefault="0032229F">
      <w:pPr>
        <w:numPr>
          <w:ilvl w:val="2"/>
          <w:numId w:val="1"/>
        </w:numPr>
        <w:pBdr>
          <w:top w:val="nil"/>
          <w:left w:val="nil"/>
          <w:bottom w:val="nil"/>
          <w:right w:val="nil"/>
          <w:between w:val="nil"/>
        </w:pBdr>
        <w:spacing w:before="20" w:after="20" w:line="276" w:lineRule="auto"/>
        <w:rPr>
          <w:rFonts w:ascii="Arial" w:eastAsia="Arial" w:hAnsi="Arial" w:cs="Arial"/>
          <w:color w:val="00B050"/>
        </w:rPr>
      </w:pPr>
      <w:r>
        <w:rPr>
          <w:rFonts w:ascii="Arial" w:eastAsia="Arial" w:hAnsi="Arial" w:cs="Arial"/>
          <w:color w:val="00B050"/>
        </w:rPr>
        <w:t>For Department of Defense (DOD) research, have the convened IRB promptly (within 30 days) re-review the research protocol to ensure that the rights and well-being of the human subject, now a prisoner, are not in jeopardy.</w:t>
      </w:r>
    </w:p>
    <w:p w14:paraId="0D5E9C31" w14:textId="77777777" w:rsidR="00F37DD6" w:rsidRDefault="0032229F">
      <w:pPr>
        <w:numPr>
          <w:ilvl w:val="3"/>
          <w:numId w:val="1"/>
        </w:numPr>
        <w:pBdr>
          <w:top w:val="nil"/>
          <w:left w:val="nil"/>
          <w:bottom w:val="nil"/>
          <w:right w:val="nil"/>
          <w:between w:val="nil"/>
        </w:pBdr>
        <w:spacing w:before="20" w:after="20" w:line="276" w:lineRule="auto"/>
        <w:rPr>
          <w:rFonts w:ascii="Arial" w:eastAsia="Arial" w:hAnsi="Arial" w:cs="Arial"/>
          <w:color w:val="00B050"/>
        </w:rPr>
      </w:pPr>
      <w:r>
        <w:rPr>
          <w:rFonts w:ascii="Arial" w:eastAsia="Arial" w:hAnsi="Arial" w:cs="Arial"/>
          <w:color w:val="00B050"/>
        </w:rPr>
        <w:t>Promptly report all decisions to the Department of Defense (DOD).</w:t>
      </w:r>
    </w:p>
    <w:p w14:paraId="0D5E9C32" w14:textId="77777777" w:rsidR="00F37DD6" w:rsidRDefault="0032229F">
      <w:pPr>
        <w:numPr>
          <w:ilvl w:val="3"/>
          <w:numId w:val="1"/>
        </w:numPr>
        <w:pBdr>
          <w:top w:val="nil"/>
          <w:left w:val="nil"/>
          <w:bottom w:val="nil"/>
          <w:right w:val="nil"/>
          <w:between w:val="nil"/>
        </w:pBdr>
        <w:spacing w:before="20" w:after="20" w:line="276" w:lineRule="auto"/>
        <w:rPr>
          <w:rFonts w:ascii="Arial" w:eastAsia="Arial" w:hAnsi="Arial" w:cs="Arial"/>
          <w:color w:val="00B050"/>
        </w:rPr>
      </w:pPr>
      <w:r>
        <w:rPr>
          <w:rFonts w:ascii="Arial" w:eastAsia="Arial" w:hAnsi="Arial" w:cs="Arial"/>
          <w:color w:val="00B050"/>
        </w:rPr>
        <w:t>The Department of Defense (DOD) must concur with the IRB before the subject can continue to participate while a Prisoner.</w:t>
      </w:r>
    </w:p>
    <w:p w14:paraId="0D5E9C33" w14:textId="77777777" w:rsidR="00F37DD6" w:rsidRDefault="0032229F">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If the information involves any of the following, complete and send HRP-529 - LETTER - AAHRPP Notice of Information Item to AAHRPP as soon as possible but generally within two days of the receipt of the information, in addition to other applicable procedures listed in this SOP:</w:t>
      </w:r>
    </w:p>
    <w:p w14:paraId="0D5E9C34" w14:textId="77777777" w:rsidR="00F37DD6" w:rsidRDefault="0032229F">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Negative actions by a government oversight office, including, but not limited to, OHRP Determination Letters, FDA Warning Letters, FDA 483 Inspection Reports with official action indicated, FDA Restrictions Placed on IRBs or Investigators, and corresponding compliance actions taken under non-US authorities related to human research protections.</w:t>
      </w:r>
    </w:p>
    <w:p w14:paraId="0D5E9C35" w14:textId="77777777" w:rsidR="00F37DD6" w:rsidRDefault="0032229F">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Litigation, arbitration, or settlements initiated related to human research protections.</w:t>
      </w:r>
    </w:p>
    <w:p w14:paraId="0D5E9C36" w14:textId="77777777" w:rsidR="00F37DD6" w:rsidRDefault="0032229F">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Press coverage (including but not limited to radio, TV, newspaper, online publications) of a negative nature regarding the Organization’s HRPP.</w:t>
      </w:r>
    </w:p>
    <w:p w14:paraId="0D5E9C37" w14:textId="77777777" w:rsidR="00F37DD6" w:rsidRDefault="0032229F">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Take any additional actions required to resolve any concerns or complaints associated with the information.</w:t>
      </w:r>
    </w:p>
    <w:p w14:paraId="0D5E9C38" w14:textId="77777777" w:rsidR="00F37DD6" w:rsidRPr="002D07AE" w:rsidRDefault="0032229F">
      <w:pPr>
        <w:numPr>
          <w:ilvl w:val="1"/>
          <w:numId w:val="1"/>
        </w:numPr>
        <w:pBdr>
          <w:top w:val="nil"/>
          <w:left w:val="nil"/>
          <w:bottom w:val="nil"/>
          <w:right w:val="nil"/>
          <w:between w:val="nil"/>
        </w:pBdr>
        <w:spacing w:before="20" w:after="20" w:line="276" w:lineRule="auto"/>
        <w:rPr>
          <w:rFonts w:ascii="Arial" w:eastAsia="Arial" w:hAnsi="Arial" w:cs="Arial"/>
          <w:color w:val="FF0000"/>
        </w:rPr>
      </w:pPr>
      <w:r w:rsidRPr="002D07AE">
        <w:rPr>
          <w:rFonts w:ascii="Arial" w:eastAsia="Arial" w:hAnsi="Arial" w:cs="Arial"/>
          <w:color w:val="FF0000"/>
        </w:rPr>
        <w:t>For Veterans Administration (VA) research:</w:t>
      </w:r>
    </w:p>
    <w:p w14:paraId="0D5E9C39" w14:textId="77777777" w:rsidR="00F37DD6" w:rsidRPr="002D07AE" w:rsidRDefault="0032229F">
      <w:pPr>
        <w:numPr>
          <w:ilvl w:val="2"/>
          <w:numId w:val="1"/>
        </w:numPr>
        <w:pBdr>
          <w:top w:val="nil"/>
          <w:left w:val="nil"/>
          <w:bottom w:val="nil"/>
          <w:right w:val="nil"/>
          <w:between w:val="nil"/>
        </w:pBdr>
        <w:spacing w:before="20" w:after="20" w:line="276" w:lineRule="auto"/>
        <w:rPr>
          <w:rFonts w:ascii="Arial" w:eastAsia="Arial" w:hAnsi="Arial" w:cs="Arial"/>
          <w:color w:val="FF0000"/>
        </w:rPr>
      </w:pPr>
      <w:r w:rsidRPr="002D07AE">
        <w:rPr>
          <w:rFonts w:ascii="Arial" w:eastAsia="Arial" w:hAnsi="Arial" w:cs="Arial"/>
          <w:color w:val="FF0000"/>
        </w:rPr>
        <w:lastRenderedPageBreak/>
        <w:t xml:space="preserve">If the information represents an </w:t>
      </w:r>
      <w:r w:rsidRPr="002D07AE">
        <w:rPr>
          <w:rFonts w:ascii="Arial" w:eastAsia="Arial" w:hAnsi="Arial" w:cs="Arial"/>
          <w:color w:val="FF0000"/>
          <w:u w:val="single"/>
        </w:rPr>
        <w:t>Unanticipated Problem Involving Risks to Subjects or Others</w:t>
      </w:r>
      <w:r w:rsidRPr="002D07AE">
        <w:rPr>
          <w:rFonts w:ascii="Arial" w:eastAsia="Arial" w:hAnsi="Arial" w:cs="Arial"/>
          <w:color w:val="FF0000"/>
        </w:rPr>
        <w:t xml:space="preserve"> that is a local research death:</w:t>
      </w:r>
    </w:p>
    <w:p w14:paraId="0D5E9C3A" w14:textId="77777777" w:rsidR="00F37DD6" w:rsidRPr="002D07AE" w:rsidRDefault="0032229F">
      <w:pPr>
        <w:numPr>
          <w:ilvl w:val="3"/>
          <w:numId w:val="1"/>
        </w:numPr>
        <w:pBdr>
          <w:top w:val="nil"/>
          <w:left w:val="nil"/>
          <w:bottom w:val="nil"/>
          <w:right w:val="nil"/>
          <w:between w:val="nil"/>
        </w:pBdr>
        <w:spacing w:before="20" w:after="20" w:line="276" w:lineRule="auto"/>
        <w:rPr>
          <w:rFonts w:ascii="Arial" w:eastAsia="Arial" w:hAnsi="Arial" w:cs="Arial"/>
          <w:color w:val="FF0000"/>
        </w:rPr>
      </w:pPr>
      <w:r w:rsidRPr="002D07AE">
        <w:rPr>
          <w:rFonts w:ascii="Arial" w:eastAsia="Arial" w:hAnsi="Arial" w:cs="Arial"/>
          <w:color w:val="FF0000"/>
        </w:rPr>
        <w:t xml:space="preserve">Within one (1) business day after receiving written notification of the death, the IRB Chair or </w:t>
      </w:r>
      <w:r w:rsidRPr="002D07AE">
        <w:rPr>
          <w:rFonts w:ascii="Arial" w:eastAsia="Arial" w:hAnsi="Arial" w:cs="Arial"/>
          <w:color w:val="FF0000"/>
          <w:u w:val="single"/>
        </w:rPr>
        <w:t>Designated Reviewer</w:t>
      </w:r>
      <w:r w:rsidRPr="002D07AE">
        <w:rPr>
          <w:rFonts w:ascii="Arial" w:eastAsia="Arial" w:hAnsi="Arial" w:cs="Arial"/>
          <w:color w:val="FF0000"/>
        </w:rPr>
        <w:t xml:space="preserve"> must assess and document whether any actions are warranted to eliminate apparent immediate hazards to subjects and, if so, initiate those actions.</w:t>
      </w:r>
    </w:p>
    <w:p w14:paraId="0D5E9C3B" w14:textId="77777777" w:rsidR="00F37DD6" w:rsidRPr="002D07AE" w:rsidRDefault="0032229F">
      <w:pPr>
        <w:numPr>
          <w:ilvl w:val="3"/>
          <w:numId w:val="1"/>
        </w:numPr>
        <w:pBdr>
          <w:top w:val="nil"/>
          <w:left w:val="nil"/>
          <w:bottom w:val="nil"/>
          <w:right w:val="nil"/>
          <w:between w:val="nil"/>
        </w:pBdr>
        <w:spacing w:before="20" w:after="20" w:line="276" w:lineRule="auto"/>
        <w:rPr>
          <w:rFonts w:ascii="Arial" w:eastAsia="Arial" w:hAnsi="Arial" w:cs="Arial"/>
          <w:color w:val="FF0000"/>
        </w:rPr>
      </w:pPr>
      <w:r w:rsidRPr="002D07AE">
        <w:rPr>
          <w:rFonts w:ascii="Arial" w:eastAsia="Arial" w:hAnsi="Arial" w:cs="Arial"/>
          <w:color w:val="FF0000"/>
        </w:rPr>
        <w:t xml:space="preserve">Schedule the written notification, the immediate hazard assessment of the IRB Chair or </w:t>
      </w:r>
      <w:r w:rsidRPr="002D07AE">
        <w:rPr>
          <w:rFonts w:ascii="Arial" w:eastAsia="Arial" w:hAnsi="Arial" w:cs="Arial"/>
          <w:color w:val="FF0000"/>
          <w:u w:val="single"/>
        </w:rPr>
        <w:t>Designated Reviewer</w:t>
      </w:r>
      <w:r w:rsidRPr="002D07AE">
        <w:rPr>
          <w:rFonts w:ascii="Arial" w:eastAsia="Arial" w:hAnsi="Arial" w:cs="Arial"/>
          <w:color w:val="FF0000"/>
        </w:rPr>
        <w:t>, and the actions taken to date for the next convened IRB meeting, not to exceed 30 calendar days after the date of written notification. NOTE: This may require the IRB to convene an emergency session prior to its next scheduled meeting.</w:t>
      </w:r>
    </w:p>
    <w:p w14:paraId="0D5E9C3C" w14:textId="77777777" w:rsidR="00F37DD6" w:rsidRPr="002D07AE" w:rsidRDefault="0032229F">
      <w:pPr>
        <w:numPr>
          <w:ilvl w:val="3"/>
          <w:numId w:val="1"/>
        </w:numPr>
        <w:pBdr>
          <w:top w:val="nil"/>
          <w:left w:val="nil"/>
          <w:bottom w:val="nil"/>
          <w:right w:val="nil"/>
          <w:between w:val="nil"/>
        </w:pBdr>
        <w:spacing w:before="20" w:after="20" w:line="276" w:lineRule="auto"/>
        <w:rPr>
          <w:rFonts w:ascii="Arial" w:eastAsia="Arial" w:hAnsi="Arial" w:cs="Arial"/>
          <w:color w:val="FF0000"/>
        </w:rPr>
      </w:pPr>
      <w:r w:rsidRPr="002D07AE">
        <w:rPr>
          <w:rFonts w:ascii="Arial" w:eastAsia="Arial" w:hAnsi="Arial" w:cs="Arial"/>
          <w:color w:val="FF0000"/>
        </w:rPr>
        <w:t xml:space="preserve">The IRB must determine and document within 30 calendar days of the convened IRB’s initial review: </w:t>
      </w:r>
    </w:p>
    <w:p w14:paraId="0D5E9C3D" w14:textId="77777777" w:rsidR="00F37DD6" w:rsidRPr="002D07AE" w:rsidRDefault="0032229F">
      <w:pPr>
        <w:numPr>
          <w:ilvl w:val="4"/>
          <w:numId w:val="1"/>
        </w:numPr>
        <w:pBdr>
          <w:top w:val="nil"/>
          <w:left w:val="nil"/>
          <w:bottom w:val="nil"/>
          <w:right w:val="nil"/>
          <w:between w:val="nil"/>
        </w:pBdr>
        <w:spacing w:before="20" w:after="20" w:line="276" w:lineRule="auto"/>
        <w:rPr>
          <w:rFonts w:ascii="Arial" w:eastAsia="Arial" w:hAnsi="Arial" w:cs="Arial"/>
          <w:color w:val="FF0000"/>
        </w:rPr>
      </w:pPr>
      <w:r w:rsidRPr="002D07AE">
        <w:rPr>
          <w:rFonts w:ascii="Arial" w:eastAsia="Arial" w:hAnsi="Arial" w:cs="Arial"/>
          <w:color w:val="FF0000"/>
        </w:rPr>
        <w:t xml:space="preserve">Whether the death was both unexpected and related or possibly related to participation in the research; and </w:t>
      </w:r>
    </w:p>
    <w:p w14:paraId="0D5E9C3E" w14:textId="77777777" w:rsidR="00F37DD6" w:rsidRPr="002D07AE" w:rsidRDefault="0032229F">
      <w:pPr>
        <w:numPr>
          <w:ilvl w:val="4"/>
          <w:numId w:val="1"/>
        </w:numPr>
        <w:pBdr>
          <w:top w:val="nil"/>
          <w:left w:val="nil"/>
          <w:bottom w:val="nil"/>
          <w:right w:val="nil"/>
          <w:between w:val="nil"/>
        </w:pBdr>
        <w:spacing w:before="20" w:after="20" w:line="276" w:lineRule="auto"/>
        <w:rPr>
          <w:rFonts w:ascii="Arial" w:eastAsia="Arial" w:hAnsi="Arial" w:cs="Arial"/>
          <w:color w:val="FF0000"/>
        </w:rPr>
      </w:pPr>
      <w:r w:rsidRPr="002D07AE">
        <w:rPr>
          <w:rFonts w:ascii="Arial" w:eastAsia="Arial" w:hAnsi="Arial" w:cs="Arial"/>
          <w:color w:val="FF0000"/>
        </w:rPr>
        <w:t xml:space="preserve">What, if any, protocol or informed consent modifications are warranted. If modifications are warranted, the convened IRB must determine and document </w:t>
      </w:r>
      <w:proofErr w:type="gramStart"/>
      <w:r w:rsidRPr="002D07AE">
        <w:rPr>
          <w:rFonts w:ascii="Arial" w:eastAsia="Arial" w:hAnsi="Arial" w:cs="Arial"/>
          <w:color w:val="FF0000"/>
        </w:rPr>
        <w:t>whether or not</w:t>
      </w:r>
      <w:proofErr w:type="gramEnd"/>
      <w:r w:rsidRPr="002D07AE">
        <w:rPr>
          <w:rFonts w:ascii="Arial" w:eastAsia="Arial" w:hAnsi="Arial" w:cs="Arial"/>
          <w:color w:val="FF0000"/>
        </w:rPr>
        <w:t xml:space="preserve"> investigators must notify or solicit renewed/revised consent from previously enrolled subjects; and if so, when such notification or consent must take place and how it must be documented. </w:t>
      </w:r>
    </w:p>
    <w:p w14:paraId="0D5E9C3F" w14:textId="77777777" w:rsidR="00F37DD6" w:rsidRPr="002D07AE" w:rsidRDefault="0032229F">
      <w:pPr>
        <w:numPr>
          <w:ilvl w:val="2"/>
          <w:numId w:val="1"/>
        </w:numPr>
        <w:pBdr>
          <w:top w:val="nil"/>
          <w:left w:val="nil"/>
          <w:bottom w:val="nil"/>
          <w:right w:val="nil"/>
          <w:between w:val="nil"/>
        </w:pBdr>
        <w:spacing w:before="20" w:after="20" w:line="276" w:lineRule="auto"/>
        <w:rPr>
          <w:rFonts w:ascii="Arial" w:eastAsia="Arial" w:hAnsi="Arial" w:cs="Arial"/>
          <w:color w:val="FF0000"/>
        </w:rPr>
      </w:pPr>
      <w:r w:rsidRPr="002D07AE">
        <w:rPr>
          <w:rFonts w:ascii="Arial" w:eastAsia="Arial" w:hAnsi="Arial" w:cs="Arial"/>
          <w:color w:val="FF0000"/>
        </w:rPr>
        <w:t xml:space="preserve">Within 5 business days of receipt of written notification of information that appears to represent an </w:t>
      </w:r>
      <w:r w:rsidRPr="002D07AE">
        <w:rPr>
          <w:rFonts w:ascii="Arial" w:eastAsia="Arial" w:hAnsi="Arial" w:cs="Arial"/>
          <w:color w:val="FF0000"/>
          <w:u w:val="single"/>
        </w:rPr>
        <w:t>Unanticipated Problem Involving Risks to Subjects or Others</w:t>
      </w:r>
      <w:r w:rsidRPr="002D07AE">
        <w:rPr>
          <w:rFonts w:ascii="Arial" w:eastAsia="Arial" w:hAnsi="Arial" w:cs="Arial"/>
          <w:color w:val="FF0000"/>
        </w:rPr>
        <w:t xml:space="preserve">, have the IRB Chair or a </w:t>
      </w:r>
      <w:r w:rsidRPr="002D07AE">
        <w:rPr>
          <w:rFonts w:ascii="Arial" w:eastAsia="Arial" w:hAnsi="Arial" w:cs="Arial"/>
          <w:color w:val="FF0000"/>
          <w:u w:val="single"/>
        </w:rPr>
        <w:t>Designated Reviewer</w:t>
      </w:r>
      <w:r w:rsidRPr="002D07AE">
        <w:rPr>
          <w:rFonts w:ascii="Arial" w:eastAsia="Arial" w:hAnsi="Arial" w:cs="Arial"/>
          <w:color w:val="FF0000"/>
        </w:rPr>
        <w:t xml:space="preserve"> determine and document whether any actions are warranted to eliminate apparent immediate hazards to subjects (and if so, initiate those actions).  </w:t>
      </w:r>
    </w:p>
    <w:p w14:paraId="0D5E9C40" w14:textId="77777777" w:rsidR="00F37DD6" w:rsidRPr="002D07AE" w:rsidRDefault="0032229F">
      <w:pPr>
        <w:numPr>
          <w:ilvl w:val="3"/>
          <w:numId w:val="1"/>
        </w:numPr>
        <w:pBdr>
          <w:top w:val="nil"/>
          <w:left w:val="nil"/>
          <w:bottom w:val="nil"/>
          <w:right w:val="nil"/>
          <w:between w:val="nil"/>
        </w:pBdr>
        <w:spacing w:before="20" w:after="20" w:line="276" w:lineRule="auto"/>
        <w:rPr>
          <w:rFonts w:ascii="Arial" w:eastAsia="Arial" w:hAnsi="Arial" w:cs="Arial"/>
          <w:color w:val="FF0000"/>
        </w:rPr>
      </w:pPr>
      <w:r w:rsidRPr="002D07AE">
        <w:rPr>
          <w:rFonts w:ascii="Arial" w:eastAsia="Arial" w:hAnsi="Arial" w:cs="Arial"/>
          <w:color w:val="FF0000"/>
        </w:rPr>
        <w:t xml:space="preserve">Schedule the written notification, the immediate hazard assessment of the IRB Chair or </w:t>
      </w:r>
      <w:r w:rsidRPr="002D07AE">
        <w:rPr>
          <w:rFonts w:ascii="Arial" w:eastAsia="Arial" w:hAnsi="Arial" w:cs="Arial"/>
          <w:color w:val="FF0000"/>
          <w:u w:val="single"/>
        </w:rPr>
        <w:t>Designated Reviewer</w:t>
      </w:r>
      <w:r w:rsidRPr="002D07AE">
        <w:rPr>
          <w:rFonts w:ascii="Arial" w:eastAsia="Arial" w:hAnsi="Arial" w:cs="Arial"/>
          <w:color w:val="FF0000"/>
        </w:rPr>
        <w:t>, and the actions taken to date for the next convened IRB meeting, not to exceed 30 calendar days after the date of written notification (this may require the IRB to convene an emergency session prior to its next scheduled meeting).</w:t>
      </w:r>
    </w:p>
    <w:p w14:paraId="0D5E9C41" w14:textId="77777777" w:rsidR="00F37DD6" w:rsidRPr="002D07AE" w:rsidRDefault="0032229F">
      <w:pPr>
        <w:numPr>
          <w:ilvl w:val="4"/>
          <w:numId w:val="1"/>
        </w:numPr>
        <w:pBdr>
          <w:top w:val="nil"/>
          <w:left w:val="nil"/>
          <w:bottom w:val="nil"/>
          <w:right w:val="nil"/>
          <w:between w:val="nil"/>
        </w:pBdr>
        <w:spacing w:before="20" w:after="20" w:line="276" w:lineRule="auto"/>
        <w:rPr>
          <w:rFonts w:ascii="Arial" w:eastAsia="Arial" w:hAnsi="Arial" w:cs="Arial"/>
          <w:color w:val="FF0000"/>
        </w:rPr>
      </w:pPr>
      <w:r w:rsidRPr="002D07AE">
        <w:rPr>
          <w:rFonts w:ascii="Arial" w:eastAsia="Arial" w:hAnsi="Arial" w:cs="Arial"/>
          <w:color w:val="FF0000"/>
        </w:rPr>
        <w:t xml:space="preserve">If the IRB determines that the problem or event is unexpected and related to or possibly related to participation in the research and indicative of the research placing subjects or others at substantively greater risk of harm than was previously known or recognized (i.e., whether the incident, experience or outcome constituted an actual </w:t>
      </w:r>
      <w:r w:rsidRPr="002D07AE">
        <w:rPr>
          <w:rFonts w:ascii="Arial" w:eastAsia="Arial" w:hAnsi="Arial" w:cs="Arial"/>
          <w:color w:val="FF0000"/>
          <w:u w:val="single"/>
        </w:rPr>
        <w:t>Unanticipated Problem Involving Risks to Subjects or Others</w:t>
      </w:r>
      <w:r w:rsidRPr="002D07AE">
        <w:rPr>
          <w:rFonts w:ascii="Arial" w:eastAsia="Arial" w:hAnsi="Arial" w:cs="Arial"/>
          <w:color w:val="FF0000"/>
        </w:rPr>
        <w:t>), the IRB must report in writing its determinations within 5 business days to:</w:t>
      </w:r>
    </w:p>
    <w:p w14:paraId="0D5E9C42" w14:textId="77777777" w:rsidR="00F37DD6" w:rsidRPr="002D07AE" w:rsidRDefault="0032229F">
      <w:pPr>
        <w:numPr>
          <w:ilvl w:val="5"/>
          <w:numId w:val="1"/>
        </w:numPr>
        <w:pBdr>
          <w:top w:val="nil"/>
          <w:left w:val="nil"/>
          <w:bottom w:val="nil"/>
          <w:right w:val="nil"/>
          <w:between w:val="nil"/>
        </w:pBdr>
        <w:spacing w:before="20" w:after="20" w:line="276" w:lineRule="auto"/>
        <w:rPr>
          <w:rFonts w:ascii="Arial" w:eastAsia="Arial" w:hAnsi="Arial" w:cs="Arial"/>
          <w:color w:val="FF0000"/>
        </w:rPr>
      </w:pPr>
      <w:r w:rsidRPr="002D07AE">
        <w:rPr>
          <w:rFonts w:ascii="Arial" w:eastAsia="Arial" w:hAnsi="Arial" w:cs="Arial"/>
          <w:color w:val="FF0000"/>
        </w:rPr>
        <w:t>VA Medical Facility Director.</w:t>
      </w:r>
    </w:p>
    <w:p w14:paraId="0D5E9C43" w14:textId="77777777" w:rsidR="00F37DD6" w:rsidRPr="002D07AE" w:rsidRDefault="0032229F">
      <w:pPr>
        <w:numPr>
          <w:ilvl w:val="5"/>
          <w:numId w:val="1"/>
        </w:numPr>
        <w:pBdr>
          <w:top w:val="nil"/>
          <w:left w:val="nil"/>
          <w:bottom w:val="nil"/>
          <w:right w:val="nil"/>
          <w:between w:val="nil"/>
        </w:pBdr>
        <w:spacing w:before="20" w:after="20" w:line="276" w:lineRule="auto"/>
        <w:rPr>
          <w:rFonts w:ascii="Arial" w:eastAsia="Arial" w:hAnsi="Arial" w:cs="Arial"/>
          <w:color w:val="FF0000"/>
        </w:rPr>
      </w:pPr>
      <w:r w:rsidRPr="002D07AE">
        <w:rPr>
          <w:rFonts w:ascii="Arial" w:eastAsia="Arial" w:hAnsi="Arial" w:cs="Arial"/>
          <w:color w:val="FF0000"/>
        </w:rPr>
        <w:t>ACOS/R&amp;D.</w:t>
      </w:r>
    </w:p>
    <w:p w14:paraId="0D5E9C44" w14:textId="77777777" w:rsidR="00F37DD6" w:rsidRPr="002D07AE" w:rsidRDefault="0032229F">
      <w:pPr>
        <w:numPr>
          <w:ilvl w:val="5"/>
          <w:numId w:val="1"/>
        </w:numPr>
        <w:pBdr>
          <w:top w:val="nil"/>
          <w:left w:val="nil"/>
          <w:bottom w:val="nil"/>
          <w:right w:val="nil"/>
          <w:between w:val="nil"/>
        </w:pBdr>
        <w:spacing w:before="20" w:after="20" w:line="276" w:lineRule="auto"/>
        <w:rPr>
          <w:rFonts w:ascii="Arial" w:eastAsia="Arial" w:hAnsi="Arial" w:cs="Arial"/>
          <w:color w:val="FF0000"/>
        </w:rPr>
      </w:pPr>
      <w:r w:rsidRPr="002D07AE">
        <w:rPr>
          <w:rFonts w:ascii="Arial" w:eastAsia="Arial" w:hAnsi="Arial" w:cs="Arial"/>
          <w:color w:val="FF0000"/>
        </w:rPr>
        <w:t>The Research Compliance Officer (RCO).</w:t>
      </w:r>
    </w:p>
    <w:p w14:paraId="0D5E9C45" w14:textId="77777777" w:rsidR="00F37DD6" w:rsidRPr="002D07AE" w:rsidRDefault="0032229F">
      <w:pPr>
        <w:numPr>
          <w:ilvl w:val="2"/>
          <w:numId w:val="1"/>
        </w:numPr>
        <w:pBdr>
          <w:top w:val="nil"/>
          <w:left w:val="nil"/>
          <w:bottom w:val="nil"/>
          <w:right w:val="nil"/>
          <w:between w:val="nil"/>
        </w:pBdr>
        <w:spacing w:before="20" w:after="20" w:line="276" w:lineRule="auto"/>
        <w:rPr>
          <w:rFonts w:ascii="Arial" w:eastAsia="Arial" w:hAnsi="Arial" w:cs="Arial"/>
          <w:color w:val="FF0000"/>
        </w:rPr>
      </w:pPr>
      <w:r w:rsidRPr="002D07AE">
        <w:rPr>
          <w:rFonts w:ascii="Arial" w:eastAsia="Arial" w:hAnsi="Arial" w:cs="Arial"/>
          <w:color w:val="FF0000"/>
        </w:rPr>
        <w:t xml:space="preserve">If the information appears to represent </w:t>
      </w:r>
      <w:r w:rsidRPr="002D07AE">
        <w:rPr>
          <w:rFonts w:ascii="Arial" w:eastAsia="Arial" w:hAnsi="Arial" w:cs="Arial"/>
          <w:color w:val="FF0000"/>
          <w:u w:val="single"/>
        </w:rPr>
        <w:t>Serious Non-Compliance</w:t>
      </w:r>
      <w:r w:rsidRPr="002D07AE">
        <w:rPr>
          <w:rFonts w:ascii="Arial" w:eastAsia="Arial" w:hAnsi="Arial" w:cs="Arial"/>
          <w:color w:val="FF0000"/>
        </w:rPr>
        <w:t xml:space="preserve"> or </w:t>
      </w:r>
      <w:r w:rsidRPr="002D07AE">
        <w:rPr>
          <w:rFonts w:ascii="Arial" w:eastAsia="Arial" w:hAnsi="Arial" w:cs="Arial"/>
          <w:color w:val="FF0000"/>
          <w:u w:val="single"/>
        </w:rPr>
        <w:t>Continuing Non-Compliance</w:t>
      </w:r>
      <w:r w:rsidRPr="002D07AE">
        <w:rPr>
          <w:rFonts w:ascii="Arial" w:eastAsia="Arial" w:hAnsi="Arial" w:cs="Arial"/>
          <w:color w:val="FF0000"/>
        </w:rPr>
        <w:t>, schedule the information for the next IRB meeting to be reviewed by the convened IRB, not to exceed 30 calendar days after the date of written notification (this may require the IRB to convene an emergency session prior to its next scheduled meeting).</w:t>
      </w:r>
    </w:p>
    <w:p w14:paraId="0D5E9C46" w14:textId="77777777" w:rsidR="00F37DD6" w:rsidRPr="002D07AE" w:rsidRDefault="0032229F">
      <w:pPr>
        <w:numPr>
          <w:ilvl w:val="2"/>
          <w:numId w:val="1"/>
        </w:numPr>
        <w:pBdr>
          <w:top w:val="nil"/>
          <w:left w:val="nil"/>
          <w:bottom w:val="nil"/>
          <w:right w:val="nil"/>
          <w:between w:val="nil"/>
        </w:pBdr>
        <w:spacing w:before="20" w:after="20" w:line="276" w:lineRule="auto"/>
        <w:rPr>
          <w:rFonts w:ascii="Arial" w:eastAsia="Arial" w:hAnsi="Arial" w:cs="Arial"/>
          <w:color w:val="FF0000"/>
        </w:rPr>
      </w:pPr>
      <w:r w:rsidRPr="002D07AE">
        <w:rPr>
          <w:rFonts w:ascii="Arial" w:eastAsia="Arial" w:hAnsi="Arial" w:cs="Arial"/>
          <w:color w:val="FF0000"/>
        </w:rPr>
        <w:t xml:space="preserve">If the IRB determines that the information constitutes </w:t>
      </w:r>
      <w:r w:rsidRPr="002D07AE">
        <w:rPr>
          <w:rFonts w:ascii="Arial" w:eastAsia="Arial" w:hAnsi="Arial" w:cs="Arial"/>
          <w:color w:val="FF0000"/>
          <w:u w:val="single"/>
        </w:rPr>
        <w:t>Serious Non-Compliance</w:t>
      </w:r>
      <w:r w:rsidRPr="002D07AE">
        <w:rPr>
          <w:rFonts w:ascii="Arial" w:eastAsia="Arial" w:hAnsi="Arial" w:cs="Arial"/>
          <w:color w:val="FF0000"/>
        </w:rPr>
        <w:t xml:space="preserve"> or </w:t>
      </w:r>
      <w:r w:rsidRPr="002D07AE">
        <w:rPr>
          <w:rFonts w:ascii="Arial" w:eastAsia="Arial" w:hAnsi="Arial" w:cs="Arial"/>
          <w:color w:val="FF0000"/>
          <w:u w:val="single"/>
        </w:rPr>
        <w:t>Continuing Non-Compliance</w:t>
      </w:r>
      <w:r w:rsidRPr="002D07AE">
        <w:rPr>
          <w:rFonts w:ascii="Arial" w:eastAsia="Arial" w:hAnsi="Arial" w:cs="Arial"/>
          <w:color w:val="FF0000"/>
        </w:rPr>
        <w:t>, the IRB must report in writing its determinations within 5 business days to:</w:t>
      </w:r>
    </w:p>
    <w:p w14:paraId="0D5E9C47" w14:textId="77777777" w:rsidR="00F37DD6" w:rsidRPr="002D07AE" w:rsidRDefault="0032229F">
      <w:pPr>
        <w:numPr>
          <w:ilvl w:val="3"/>
          <w:numId w:val="1"/>
        </w:numPr>
        <w:pBdr>
          <w:top w:val="nil"/>
          <w:left w:val="nil"/>
          <w:bottom w:val="nil"/>
          <w:right w:val="nil"/>
          <w:between w:val="nil"/>
        </w:pBdr>
        <w:spacing w:before="20" w:after="20" w:line="276" w:lineRule="auto"/>
        <w:rPr>
          <w:rFonts w:ascii="Arial" w:eastAsia="Arial" w:hAnsi="Arial" w:cs="Arial"/>
          <w:color w:val="FF0000"/>
        </w:rPr>
      </w:pPr>
      <w:r w:rsidRPr="002D07AE">
        <w:rPr>
          <w:rFonts w:ascii="Arial" w:eastAsia="Arial" w:hAnsi="Arial" w:cs="Arial"/>
          <w:color w:val="FF0000"/>
        </w:rPr>
        <w:t>VA Medical Facility Director.</w:t>
      </w:r>
    </w:p>
    <w:p w14:paraId="0D5E9C48" w14:textId="77777777" w:rsidR="00F37DD6" w:rsidRPr="002D07AE" w:rsidRDefault="0032229F">
      <w:pPr>
        <w:numPr>
          <w:ilvl w:val="3"/>
          <w:numId w:val="1"/>
        </w:numPr>
        <w:pBdr>
          <w:top w:val="nil"/>
          <w:left w:val="nil"/>
          <w:bottom w:val="nil"/>
          <w:right w:val="nil"/>
          <w:between w:val="nil"/>
        </w:pBdr>
        <w:spacing w:before="20" w:after="20" w:line="276" w:lineRule="auto"/>
        <w:rPr>
          <w:rFonts w:ascii="Arial" w:eastAsia="Arial" w:hAnsi="Arial" w:cs="Arial"/>
          <w:color w:val="FF0000"/>
        </w:rPr>
      </w:pPr>
      <w:r w:rsidRPr="002D07AE">
        <w:rPr>
          <w:rFonts w:ascii="Arial" w:eastAsia="Arial" w:hAnsi="Arial" w:cs="Arial"/>
          <w:color w:val="FF0000"/>
        </w:rPr>
        <w:t>ACOS/R&amp;D.</w:t>
      </w:r>
    </w:p>
    <w:p w14:paraId="0D5E9C49" w14:textId="77777777" w:rsidR="00F37DD6" w:rsidRPr="002D07AE" w:rsidRDefault="0032229F">
      <w:pPr>
        <w:numPr>
          <w:ilvl w:val="3"/>
          <w:numId w:val="1"/>
        </w:numPr>
        <w:pBdr>
          <w:top w:val="nil"/>
          <w:left w:val="nil"/>
          <w:bottom w:val="nil"/>
          <w:right w:val="nil"/>
          <w:between w:val="nil"/>
        </w:pBdr>
        <w:spacing w:before="20" w:after="20" w:line="276" w:lineRule="auto"/>
        <w:rPr>
          <w:rFonts w:ascii="Arial" w:eastAsia="Arial" w:hAnsi="Arial" w:cs="Arial"/>
          <w:color w:val="FF0000"/>
        </w:rPr>
      </w:pPr>
      <w:r w:rsidRPr="002D07AE">
        <w:rPr>
          <w:rFonts w:ascii="Arial" w:eastAsia="Arial" w:hAnsi="Arial" w:cs="Arial"/>
          <w:color w:val="FF0000"/>
        </w:rPr>
        <w:t xml:space="preserve">The RCO. </w:t>
      </w:r>
    </w:p>
    <w:p w14:paraId="0D5E9C4A" w14:textId="40F448C7" w:rsidR="00F37DD6" w:rsidRDefault="0032229F">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lastRenderedPageBreak/>
        <w:t xml:space="preserve">If the information does not involve a </w:t>
      </w:r>
      <w:r>
        <w:rPr>
          <w:rFonts w:ascii="Arial" w:eastAsia="Arial" w:hAnsi="Arial" w:cs="Arial"/>
          <w:color w:val="000000"/>
          <w:u w:val="single"/>
        </w:rPr>
        <w:t>Serious Non-Compliance</w:t>
      </w:r>
      <w:r>
        <w:rPr>
          <w:rFonts w:ascii="Arial" w:eastAsia="Arial" w:hAnsi="Arial" w:cs="Arial"/>
          <w:color w:val="000000"/>
        </w:rPr>
        <w:t xml:space="preserve">; </w:t>
      </w:r>
      <w:r>
        <w:rPr>
          <w:rFonts w:ascii="Arial" w:eastAsia="Arial" w:hAnsi="Arial" w:cs="Arial"/>
          <w:color w:val="000000"/>
          <w:u w:val="single"/>
        </w:rPr>
        <w:t>Continuing Non-Compliance</w:t>
      </w:r>
      <w:r>
        <w:rPr>
          <w:rFonts w:ascii="Arial" w:eastAsia="Arial" w:hAnsi="Arial" w:cs="Arial"/>
          <w:color w:val="000000"/>
        </w:rPr>
        <w:t xml:space="preserve">; </w:t>
      </w:r>
      <w:r>
        <w:rPr>
          <w:rFonts w:ascii="Arial" w:eastAsia="Arial" w:hAnsi="Arial" w:cs="Arial"/>
          <w:color w:val="000000"/>
          <w:u w:val="single"/>
        </w:rPr>
        <w:t>Suspension of IRB Approval</w:t>
      </w:r>
      <w:r>
        <w:rPr>
          <w:rFonts w:ascii="Arial" w:eastAsia="Arial" w:hAnsi="Arial" w:cs="Arial"/>
          <w:color w:val="000000"/>
        </w:rPr>
        <w:t xml:space="preserve">; </w:t>
      </w:r>
      <w:r>
        <w:rPr>
          <w:rFonts w:ascii="Arial" w:eastAsia="Arial" w:hAnsi="Arial" w:cs="Arial"/>
          <w:color w:val="000000"/>
          <w:u w:val="single"/>
        </w:rPr>
        <w:t>Termination of IRB Approval</w:t>
      </w:r>
      <w:r>
        <w:rPr>
          <w:rFonts w:ascii="Arial" w:eastAsia="Arial" w:hAnsi="Arial" w:cs="Arial"/>
          <w:color w:val="000000"/>
        </w:rPr>
        <w:t xml:space="preserve">; or </w:t>
      </w:r>
      <w:r>
        <w:rPr>
          <w:rFonts w:ascii="Arial" w:eastAsia="Arial" w:hAnsi="Arial" w:cs="Arial"/>
          <w:color w:val="000000"/>
          <w:u w:val="single"/>
        </w:rPr>
        <w:t>Unanticipated Problem Involving Risks to Subjects</w:t>
      </w:r>
      <w:r>
        <w:rPr>
          <w:rFonts w:ascii="Arial" w:eastAsia="Arial" w:hAnsi="Arial" w:cs="Arial"/>
          <w:color w:val="000000"/>
        </w:rPr>
        <w:t xml:space="preserve"> or Others complete review and acknowledge using “Finalize Review” activity and if a response is expected, prepare and send </w:t>
      </w:r>
      <w:r>
        <w:rPr>
          <w:rFonts w:ascii="Arial" w:eastAsia="Arial" w:hAnsi="Arial" w:cs="Arial"/>
        </w:rPr>
        <w:t>HRP-519 - LETTER - Information Item</w:t>
      </w:r>
      <w:r>
        <w:rPr>
          <w:rFonts w:ascii="Arial" w:eastAsia="Arial" w:hAnsi="Arial" w:cs="Arial"/>
          <w:color w:val="000000"/>
        </w:rPr>
        <w:t xml:space="preserve"> </w:t>
      </w:r>
      <w:r>
        <w:rPr>
          <w:rFonts w:ascii="Arial" w:eastAsia="Arial" w:hAnsi="Arial" w:cs="Arial"/>
        </w:rPr>
        <w:t>via the</w:t>
      </w:r>
      <w:r>
        <w:rPr>
          <w:rFonts w:ascii="Arial" w:eastAsia="Arial" w:hAnsi="Arial" w:cs="Arial"/>
          <w:color w:val="000000"/>
        </w:rPr>
        <w:t xml:space="preserve"> “Log Public Comment” activity.</w:t>
      </w:r>
    </w:p>
    <w:p w14:paraId="0D5E9C4B" w14:textId="77777777" w:rsidR="00F37DD6" w:rsidRDefault="0032229F">
      <w:pPr>
        <w:numPr>
          <w:ilvl w:val="0"/>
          <w:numId w:val="1"/>
        </w:numPr>
        <w:pBdr>
          <w:top w:val="nil"/>
          <w:left w:val="nil"/>
          <w:bottom w:val="nil"/>
          <w:right w:val="nil"/>
          <w:between w:val="nil"/>
        </w:pBdr>
        <w:spacing w:before="40" w:after="40" w:line="276" w:lineRule="auto"/>
        <w:rPr>
          <w:rFonts w:ascii="Arial" w:eastAsia="Arial" w:hAnsi="Arial" w:cs="Arial"/>
          <w:b/>
          <w:color w:val="000000"/>
        </w:rPr>
      </w:pPr>
      <w:r>
        <w:rPr>
          <w:rFonts w:ascii="Arial" w:eastAsia="Arial" w:hAnsi="Arial" w:cs="Arial"/>
          <w:b/>
          <w:color w:val="000000"/>
        </w:rPr>
        <w:t>MATERIALS</w:t>
      </w:r>
    </w:p>
    <w:p w14:paraId="0D5E9C4C" w14:textId="77777777" w:rsidR="00F37DD6" w:rsidRDefault="0032229F">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HRP-025 - SOP – Investigations</w:t>
      </w:r>
    </w:p>
    <w:p w14:paraId="0D5E9C4D" w14:textId="77777777" w:rsidR="00F37DD6" w:rsidRDefault="0032229F">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HRP-026 - SOP - Suspension or Termination Issued Outside of Convened IRB</w:t>
      </w:r>
    </w:p>
    <w:p w14:paraId="0D5E9C4E" w14:textId="77777777" w:rsidR="00F37DD6" w:rsidRDefault="0032229F">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HRP-052 - SOP - Post-Review</w:t>
      </w:r>
    </w:p>
    <w:p w14:paraId="0D5E9C4F" w14:textId="77777777" w:rsidR="00F37DD6" w:rsidRDefault="0032229F">
      <w:pPr>
        <w:numPr>
          <w:ilvl w:val="1"/>
          <w:numId w:val="1"/>
        </w:numPr>
        <w:spacing w:before="20" w:after="20" w:line="276" w:lineRule="auto"/>
        <w:rPr>
          <w:rFonts w:ascii="Arial" w:eastAsia="Arial" w:hAnsi="Arial" w:cs="Arial"/>
        </w:rPr>
      </w:pPr>
      <w:r>
        <w:rPr>
          <w:rFonts w:ascii="Arial" w:eastAsia="Arial" w:hAnsi="Arial" w:cs="Arial"/>
        </w:rPr>
        <w:t>HRP-519 - LETTER - Information Item</w:t>
      </w:r>
    </w:p>
    <w:p w14:paraId="0D5E9C50" w14:textId="77777777" w:rsidR="00F37DD6" w:rsidRDefault="0032229F">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HRP-529 - LETTER - AAHRPP Notice of Information Item</w:t>
      </w:r>
    </w:p>
    <w:p w14:paraId="0D5E9C51" w14:textId="77777777" w:rsidR="00F37DD6" w:rsidRDefault="0032229F">
      <w:pPr>
        <w:numPr>
          <w:ilvl w:val="0"/>
          <w:numId w:val="1"/>
        </w:numPr>
        <w:pBdr>
          <w:top w:val="nil"/>
          <w:left w:val="nil"/>
          <w:bottom w:val="nil"/>
          <w:right w:val="nil"/>
          <w:between w:val="nil"/>
        </w:pBdr>
        <w:spacing w:before="40" w:after="40" w:line="276" w:lineRule="auto"/>
        <w:rPr>
          <w:rFonts w:ascii="Arial" w:eastAsia="Arial" w:hAnsi="Arial" w:cs="Arial"/>
          <w:b/>
          <w:color w:val="000000"/>
        </w:rPr>
      </w:pPr>
      <w:r>
        <w:rPr>
          <w:rFonts w:ascii="Arial" w:eastAsia="Arial" w:hAnsi="Arial" w:cs="Arial"/>
          <w:b/>
          <w:color w:val="000000"/>
        </w:rPr>
        <w:t>REFERENCES</w:t>
      </w:r>
    </w:p>
    <w:p w14:paraId="0D5E9C52" w14:textId="77777777" w:rsidR="00F37DD6" w:rsidRDefault="0032229F">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21 CFR §56.108(b)</w:t>
      </w:r>
    </w:p>
    <w:p w14:paraId="0D5E9C53" w14:textId="77777777" w:rsidR="00F37DD6" w:rsidRDefault="0032229F">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45 CFR §46.103(b)(5), 45 CFR §46.108(a)</w:t>
      </w:r>
    </w:p>
    <w:p w14:paraId="0D5E9C54" w14:textId="77777777" w:rsidR="00F37DD6" w:rsidRPr="002D07AE" w:rsidRDefault="0032229F">
      <w:pPr>
        <w:numPr>
          <w:ilvl w:val="1"/>
          <w:numId w:val="1"/>
        </w:numPr>
        <w:pBdr>
          <w:top w:val="nil"/>
          <w:left w:val="nil"/>
          <w:bottom w:val="nil"/>
          <w:right w:val="nil"/>
          <w:between w:val="nil"/>
        </w:pBdr>
        <w:spacing w:before="20" w:after="20" w:line="276" w:lineRule="auto"/>
        <w:rPr>
          <w:rFonts w:ascii="Arial" w:eastAsia="Arial" w:hAnsi="Arial" w:cs="Arial"/>
          <w:color w:val="FF0000"/>
        </w:rPr>
      </w:pPr>
      <w:r w:rsidRPr="002D07AE">
        <w:rPr>
          <w:rFonts w:ascii="Arial" w:eastAsia="Arial" w:hAnsi="Arial" w:cs="Arial"/>
          <w:color w:val="FF0000"/>
        </w:rPr>
        <w:t>VHA Directive 1058.01 October 22, 2020</w:t>
      </w:r>
    </w:p>
    <w:p w14:paraId="0D5E9C55" w14:textId="77777777" w:rsidR="00F37DD6" w:rsidRDefault="0032229F">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AAHRPP elements I.5.A, I.5.D, I-9, II.2.D, II.2.G, II.2.H, II.2.E-II.2.E.2, II.2.F-II.2.F.3, II.4.A, III.2.D</w:t>
      </w:r>
    </w:p>
    <w:p w14:paraId="0D5E9C56" w14:textId="77777777" w:rsidR="00F37DD6" w:rsidRDefault="0032229F">
      <w:pPr>
        <w:pageBreakBefore/>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lastRenderedPageBreak/>
        <w:t>Flowchart</w:t>
      </w:r>
    </w:p>
    <w:p w14:paraId="0D5E9C57" w14:textId="77777777" w:rsidR="00F37DD6" w:rsidRDefault="00C54A1B">
      <w:r>
        <w:rPr>
          <w:noProof/>
        </w:rPr>
        <w:object w:dxaOrig="8205" w:dyaOrig="7800" w14:anchorId="0D5E9C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is image is a flowchart to help evaluate what action is needed when new information related to the research is received." style="width:409.2pt;height:389.95pt;mso-width-percent:0;mso-height-percent:0;mso-width-percent:0;mso-height-percent:0" o:ole="">
            <v:imagedata r:id="rId8" o:title=""/>
          </v:shape>
          <o:OLEObject Type="Embed" ProgID="Visio.Drawing.11" ShapeID="_x0000_i1025" DrawAspect="Content" ObjectID="_1772963279" r:id="rId9"/>
        </w:object>
      </w:r>
    </w:p>
    <w:sectPr w:rsidR="00F37DD6">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EDB2D" w14:textId="77777777" w:rsidR="00C54A1B" w:rsidRDefault="00C54A1B">
      <w:pPr>
        <w:spacing w:after="0" w:line="240" w:lineRule="auto"/>
      </w:pPr>
      <w:r>
        <w:separator/>
      </w:r>
    </w:p>
  </w:endnote>
  <w:endnote w:type="continuationSeparator" w:id="0">
    <w:p w14:paraId="79FAF3F1" w14:textId="77777777" w:rsidR="00C54A1B" w:rsidRDefault="00C54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6A5E" w14:textId="77777777" w:rsidR="003505D0" w:rsidRDefault="003505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E9C5A" w14:textId="4D30B42F" w:rsidR="00F37DD6" w:rsidRDefault="0032229F">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F42EC9">
      <w:rPr>
        <w:b/>
        <w:noProof/>
        <w:color w:val="000000"/>
      </w:rPr>
      <w:t>2</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F42EC9">
      <w:rPr>
        <w:b/>
        <w:noProof/>
        <w:color w:val="000000"/>
      </w:rPr>
      <w:t>3</w:t>
    </w:r>
    <w:r>
      <w:rPr>
        <w:b/>
        <w:color w:val="000000"/>
      </w:rPr>
      <w:fldChar w:fldCharType="end"/>
    </w:r>
  </w:p>
  <w:p w14:paraId="0D5E9C5B" w14:textId="77777777" w:rsidR="00F37DD6" w:rsidRDefault="00F37DD6">
    <w:pPr>
      <w:pBdr>
        <w:top w:val="nil"/>
        <w:left w:val="nil"/>
        <w:bottom w:val="nil"/>
        <w:right w:val="nil"/>
        <w:between w:val="nil"/>
      </w:pBdr>
      <w:tabs>
        <w:tab w:val="center" w:pos="4680"/>
        <w:tab w:val="right" w:pos="9360"/>
      </w:tabs>
      <w:spacing w:after="0" w:line="240" w:lineRule="auto"/>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E9C5E" w14:textId="7589A7DC" w:rsidR="00F37DD6" w:rsidRDefault="0032229F">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F42EC9">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F42EC9">
      <w:rPr>
        <w:b/>
        <w:noProof/>
        <w:color w:val="000000"/>
      </w:rPr>
      <w:t>2</w:t>
    </w:r>
    <w:r>
      <w:rPr>
        <w:b/>
        <w:color w:val="000000"/>
      </w:rPr>
      <w:fldChar w:fldCharType="end"/>
    </w:r>
  </w:p>
  <w:p w14:paraId="0D5E9C5F" w14:textId="77777777" w:rsidR="00F37DD6" w:rsidRDefault="00F37DD6">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12EE6" w14:textId="77777777" w:rsidR="00C54A1B" w:rsidRDefault="00C54A1B">
      <w:pPr>
        <w:spacing w:after="0" w:line="240" w:lineRule="auto"/>
      </w:pPr>
      <w:r>
        <w:separator/>
      </w:r>
    </w:p>
  </w:footnote>
  <w:footnote w:type="continuationSeparator" w:id="0">
    <w:p w14:paraId="0964B21F" w14:textId="77777777" w:rsidR="00C54A1B" w:rsidRDefault="00C54A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DE6B8" w14:textId="77777777" w:rsidR="003505D0" w:rsidRDefault="003505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E9C59" w14:textId="77777777" w:rsidR="00F37DD6" w:rsidRDefault="00F37DD6">
    <w:pPr>
      <w:pBdr>
        <w:top w:val="nil"/>
        <w:left w:val="nil"/>
        <w:bottom w:val="nil"/>
        <w:right w:val="nil"/>
        <w:between w:val="nil"/>
      </w:pBdr>
      <w:tabs>
        <w:tab w:val="center" w:pos="4680"/>
        <w:tab w:val="right" w:pos="9360"/>
      </w:tabs>
      <w:spacing w:after="0" w:line="240" w:lineRule="auto"/>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E9C5C" w14:textId="77777777" w:rsidR="00F37DD6" w:rsidRDefault="0032229F">
    <w:pPr>
      <w:tabs>
        <w:tab w:val="center" w:pos="4680"/>
        <w:tab w:val="right" w:pos="9360"/>
      </w:tabs>
      <w:spacing w:after="0" w:line="240" w:lineRule="auto"/>
      <w:jc w:val="center"/>
      <w:rPr>
        <w:color w:val="000000"/>
      </w:rPr>
    </w:pPr>
    <w:r>
      <w:rPr>
        <w:noProof/>
      </w:rPr>
      <w:drawing>
        <wp:inline distT="114300" distB="114300" distL="114300" distR="114300" wp14:anchorId="0D5E9C60" wp14:editId="5C72B319">
          <wp:extent cx="3663677" cy="452438"/>
          <wp:effectExtent l="0" t="0" r="0" b="5080"/>
          <wp:docPr id="7" name="image2.jpg" descr="Emblem with Virginia Commonwealth University and the Egyptian building.  VCU Research and Innovation."/>
          <wp:cNvGraphicFramePr/>
          <a:graphic xmlns:a="http://schemas.openxmlformats.org/drawingml/2006/main">
            <a:graphicData uri="http://schemas.openxmlformats.org/drawingml/2006/picture">
              <pic:pic xmlns:pic="http://schemas.openxmlformats.org/drawingml/2006/picture">
                <pic:nvPicPr>
                  <pic:cNvPr id="7" name="image2.jpg" descr="Emblem with Virginia Commonwealth University and the Egyptian building.  VCU Research and Innovation."/>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3663677" cy="452438"/>
                  </a:xfrm>
                  <a:prstGeom prst="rect">
                    <a:avLst/>
                  </a:prstGeom>
                  <a:ln/>
                </pic:spPr>
              </pic:pic>
            </a:graphicData>
          </a:graphic>
        </wp:inline>
      </w:drawing>
    </w:r>
  </w:p>
  <w:p w14:paraId="0D5E9C5D" w14:textId="77777777" w:rsidR="00F37DD6" w:rsidRDefault="00F37DD6">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41C3"/>
    <w:multiLevelType w:val="multilevel"/>
    <w:tmpl w:val="BA084F14"/>
    <w:lvl w:ilvl="0">
      <w:start w:val="1"/>
      <w:numFmt w:val="decimal"/>
      <w:lvlText w:val="%1"/>
      <w:lvlJc w:val="left"/>
      <w:pPr>
        <w:ind w:left="360" w:hanging="360"/>
      </w:pPr>
    </w:lvl>
    <w:lvl w:ilvl="1">
      <w:start w:val="1"/>
      <w:numFmt w:val="decimal"/>
      <w:lvlText w:val="%1.%2"/>
      <w:lvlJc w:val="left"/>
      <w:pPr>
        <w:ind w:left="576" w:hanging="216"/>
      </w:pPr>
      <w:rPr>
        <w:b w:val="0"/>
        <w:i w:val="0"/>
        <w:color w:val="000000" w:themeColor="text1"/>
        <w:sz w:val="22"/>
        <w:szCs w:val="22"/>
      </w:rPr>
    </w:lvl>
    <w:lvl w:ilvl="2">
      <w:start w:val="1"/>
      <w:numFmt w:val="decimal"/>
      <w:lvlText w:val="%1.%2.%3"/>
      <w:lvlJc w:val="left"/>
      <w:pPr>
        <w:ind w:left="1206" w:firstLine="144"/>
      </w:pPr>
      <w:rPr>
        <w:b w:val="0"/>
        <w:i w:val="0"/>
        <w:color w:val="000000" w:themeColor="text1"/>
        <w:sz w:val="22"/>
        <w:szCs w:val="22"/>
      </w:rPr>
    </w:lvl>
    <w:lvl w:ilvl="3">
      <w:start w:val="1"/>
      <w:numFmt w:val="decimal"/>
      <w:lvlText w:val="%1.%2.%3.%4"/>
      <w:lvlJc w:val="left"/>
      <w:pPr>
        <w:ind w:left="1008" w:firstLine="720"/>
      </w:pPr>
      <w:rPr>
        <w:rFonts w:ascii="Arial" w:hAnsi="Arial" w:cs="Arial" w:hint="default"/>
        <w:b w:val="0"/>
        <w:i w:val="0"/>
        <w:strike w:val="0"/>
        <w:color w:val="000000" w:themeColor="text1"/>
        <w:sz w:val="22"/>
        <w:szCs w:val="22"/>
        <w:vertAlign w:val="baseline"/>
      </w:rPr>
    </w:lvl>
    <w:lvl w:ilvl="4">
      <w:start w:val="1"/>
      <w:numFmt w:val="decimal"/>
      <w:lvlText w:val="%1.%2.%3.%4.%5"/>
      <w:lvlJc w:val="left"/>
      <w:pPr>
        <w:ind w:left="1224" w:firstLine="1512"/>
      </w:pPr>
    </w:lvl>
    <w:lvl w:ilvl="5">
      <w:start w:val="1"/>
      <w:numFmt w:val="decimal"/>
      <w:lvlText w:val="%1.%2.%3.%4.%5.%6"/>
      <w:lvlJc w:val="left"/>
      <w:pPr>
        <w:ind w:left="1440" w:firstLine="2520"/>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534B2163"/>
    <w:multiLevelType w:val="multilevel"/>
    <w:tmpl w:val="F3521992"/>
    <w:lvl w:ilvl="0">
      <w:start w:val="1"/>
      <w:numFmt w:val="decimal"/>
      <w:pStyle w:val="SOPLevel1"/>
      <w:lvlText w:val="%1."/>
      <w:lvlJc w:val="left"/>
      <w:pPr>
        <w:tabs>
          <w:tab w:val="num" w:pos="720"/>
        </w:tabs>
        <w:ind w:left="720" w:hanging="720"/>
      </w:pPr>
    </w:lvl>
    <w:lvl w:ilvl="1">
      <w:start w:val="1"/>
      <w:numFmt w:val="decimal"/>
      <w:pStyle w:val="SOPLevel2"/>
      <w:lvlText w:val="%2."/>
      <w:lvlJc w:val="left"/>
      <w:pPr>
        <w:tabs>
          <w:tab w:val="num" w:pos="1440"/>
        </w:tabs>
        <w:ind w:left="1440" w:hanging="720"/>
      </w:pPr>
    </w:lvl>
    <w:lvl w:ilvl="2">
      <w:start w:val="1"/>
      <w:numFmt w:val="decimal"/>
      <w:pStyle w:val="SOPLevel3"/>
      <w:lvlText w:val="%3."/>
      <w:lvlJc w:val="left"/>
      <w:pPr>
        <w:tabs>
          <w:tab w:val="num" w:pos="2160"/>
        </w:tabs>
        <w:ind w:left="2160" w:hanging="720"/>
      </w:pPr>
    </w:lvl>
    <w:lvl w:ilvl="3">
      <w:start w:val="1"/>
      <w:numFmt w:val="decimal"/>
      <w:pStyle w:val="SOPLevel4"/>
      <w:lvlText w:val="%4."/>
      <w:lvlJc w:val="left"/>
      <w:pPr>
        <w:tabs>
          <w:tab w:val="num" w:pos="2880"/>
        </w:tabs>
        <w:ind w:left="2880" w:hanging="720"/>
      </w:pPr>
    </w:lvl>
    <w:lvl w:ilvl="4">
      <w:start w:val="1"/>
      <w:numFmt w:val="decimal"/>
      <w:pStyle w:val="SOPLevel5"/>
      <w:lvlText w:val="%5."/>
      <w:lvlJc w:val="left"/>
      <w:pPr>
        <w:tabs>
          <w:tab w:val="num" w:pos="3600"/>
        </w:tabs>
        <w:ind w:left="3600" w:hanging="720"/>
      </w:pPr>
    </w:lvl>
    <w:lvl w:ilvl="5">
      <w:start w:val="1"/>
      <w:numFmt w:val="decimal"/>
      <w:pStyle w:val="SOPLevel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731150898">
    <w:abstractNumId w:val="0"/>
  </w:num>
  <w:num w:numId="2" w16cid:durableId="9724900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DD6"/>
    <w:rsid w:val="00065926"/>
    <w:rsid w:val="00090186"/>
    <w:rsid w:val="00140233"/>
    <w:rsid w:val="00195404"/>
    <w:rsid w:val="002D07AE"/>
    <w:rsid w:val="0032229F"/>
    <w:rsid w:val="003505D0"/>
    <w:rsid w:val="00396EC1"/>
    <w:rsid w:val="00437375"/>
    <w:rsid w:val="00573954"/>
    <w:rsid w:val="0063182C"/>
    <w:rsid w:val="0064676A"/>
    <w:rsid w:val="00661C89"/>
    <w:rsid w:val="006D18B3"/>
    <w:rsid w:val="00757881"/>
    <w:rsid w:val="00796D4B"/>
    <w:rsid w:val="0083435E"/>
    <w:rsid w:val="008E244F"/>
    <w:rsid w:val="00A57861"/>
    <w:rsid w:val="00AC5042"/>
    <w:rsid w:val="00B47825"/>
    <w:rsid w:val="00C54A1B"/>
    <w:rsid w:val="00D24E78"/>
    <w:rsid w:val="00DA41CD"/>
    <w:rsid w:val="00E70511"/>
    <w:rsid w:val="00E72D05"/>
    <w:rsid w:val="00EF5C47"/>
    <w:rsid w:val="00F37DD6"/>
    <w:rsid w:val="00F42EC9"/>
    <w:rsid w:val="00F46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E9BF3"/>
  <w15:docId w15:val="{7DE1FF51-BF32-49D3-AE21-7ACCAD242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Heading1"/>
    <w:link w:val="DocumentTitle-HCGChar"/>
    <w:qFormat/>
    <w:pPr>
      <w:spacing w:line="240" w:lineRule="auto"/>
      <w:jc w:val="center"/>
    </w:pPr>
    <w:rPr>
      <w:rFonts w:ascii="Arial" w:hAnsi="Arial" w:cs="Arial"/>
      <w:b/>
      <w:color w:val="auto"/>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eastAsiaTheme="majorEastAsia"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eastAsiaTheme="majorEastAsia" w:hAnsi="Arial" w:cs="Arial"/>
      <w:b/>
      <w:bCs/>
      <w:sz w:val="24"/>
      <w:szCs w:val="24"/>
      <w:shd w:val="pct12" w:color="auto" w:fill="auto"/>
    </w:rPr>
  </w:style>
  <w:style w:type="paragraph" w:customStyle="1" w:styleId="PrimarySectionText-HCG">
    <w:name w:val="Primary Section Text - HCG"/>
    <w:basedOn w:val="Normal"/>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paragraph" w:customStyle="1" w:styleId="SOPLevel1">
    <w:name w:val="SOP Level 1"/>
    <w:basedOn w:val="Normal"/>
    <w:pPr>
      <w:numPr>
        <w:numId w:val="2"/>
      </w:numPr>
      <w:spacing w:before="40" w:after="40" w:line="240" w:lineRule="auto"/>
    </w:pPr>
    <w:rPr>
      <w:rFonts w:ascii="Arial" w:eastAsia="Times New Roman" w:hAnsi="Arial" w:cs="Tahoma"/>
      <w:b/>
      <w:sz w:val="20"/>
      <w:szCs w:val="24"/>
    </w:rPr>
  </w:style>
  <w:style w:type="paragraph" w:customStyle="1" w:styleId="SOPLevel2">
    <w:name w:val="SOP Level 2"/>
    <w:basedOn w:val="SOPLevel1"/>
    <w:pPr>
      <w:numPr>
        <w:ilvl w:val="1"/>
      </w:numPr>
      <w:spacing w:before="20" w:after="20"/>
      <w:ind w:left="936" w:hanging="576"/>
    </w:pPr>
    <w:rPr>
      <w:b w:val="0"/>
    </w:rPr>
  </w:style>
  <w:style w:type="paragraph" w:customStyle="1" w:styleId="SOPLevel3">
    <w:name w:val="SOP Level 3"/>
    <w:basedOn w:val="SOPLevel2"/>
    <w:pPr>
      <w:numPr>
        <w:ilvl w:val="2"/>
      </w:numPr>
      <w:tabs>
        <w:tab w:val="clear" w:pos="2160"/>
        <w:tab w:val="num" w:pos="1728"/>
      </w:tabs>
      <w:ind w:left="1728" w:hanging="792"/>
    </w:pPr>
  </w:style>
  <w:style w:type="paragraph" w:customStyle="1" w:styleId="SOPLevel4">
    <w:name w:val="SOP Level 4"/>
    <w:basedOn w:val="SOPLevel3"/>
    <w:pPr>
      <w:numPr>
        <w:ilvl w:val="3"/>
      </w:numPr>
      <w:ind w:left="2736" w:hanging="1008"/>
    </w:pPr>
  </w:style>
  <w:style w:type="paragraph" w:customStyle="1" w:styleId="SOPLevel5">
    <w:name w:val="SOP Level 5"/>
    <w:basedOn w:val="SOPLevel4"/>
    <w:pPr>
      <w:numPr>
        <w:ilvl w:val="4"/>
      </w:numPr>
      <w:ind w:left="3960" w:hanging="1224"/>
    </w:pPr>
  </w:style>
  <w:style w:type="paragraph" w:customStyle="1" w:styleId="SOPLevel6">
    <w:name w:val="SOP Level 6"/>
    <w:basedOn w:val="SOPLevel5"/>
    <w:pPr>
      <w:numPr>
        <w:ilvl w:val="5"/>
      </w:numPr>
      <w:ind w:left="5400" w:hanging="1440"/>
    </w:pPr>
  </w:style>
  <w:style w:type="character" w:styleId="PlaceholderText">
    <w:name w:val="Placeholder Text"/>
    <w:basedOn w:val="DefaultParagraphFont"/>
    <w:uiPriority w:val="99"/>
    <w:semiHidden/>
    <w:rPr>
      <w:color w:val="808080"/>
    </w:rPr>
  </w:style>
  <w:style w:type="character" w:styleId="Mention">
    <w:name w:val="Mention"/>
    <w:basedOn w:val="DefaultParagraphFont"/>
    <w:uiPriority w:val="99"/>
    <w:unhideWhenUsed/>
    <w:rPr>
      <w:color w:val="2B579A"/>
      <w:shd w:val="clear" w:color="auto" w:fill="E1DFDD"/>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pPr>
      <w:spacing w:after="0" w:line="240" w:lineRule="auto"/>
    </w:p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Visio_2003-2010_Drawing.vsd"/><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pWC8VlqBEvX/gnb0Guw3uWd4KQ==">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1857</Words>
  <Characters>10586</Characters>
  <Application>Microsoft Office Word</Application>
  <DocSecurity>0</DocSecurity>
  <Lines>88</Lines>
  <Paragraphs>24</Paragraphs>
  <ScaleCrop>false</ScaleCrop>
  <Company>Huron</Company>
  <LinksUpToDate>false</LinksUpToDate>
  <CharactersWithSpaces>12419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Isley</dc:creator>
  <cp:lastModifiedBy>jenny rice</cp:lastModifiedBy>
  <cp:revision>2</cp:revision>
  <dcterms:created xsi:type="dcterms:W3CDTF">2024-03-26T17:02:00Z</dcterms:created>
  <dcterms:modified xsi:type="dcterms:W3CDTF">2024-03-26T17:02:00Z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0x010100C6AFC80723FFB74691645FEB38E21F6C</vt:lpwstr>
  </property>
  <property fmtid="{D5CDD505-2E9C-101B-9397-08002B2CF9AE}" pid="3" name="MediaServiceImageTags">
    <vt:lpwstr/>
  </property>
</Properties>
</file>