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BC36C" w14:textId="77777777" w:rsidR="00C179B9" w:rsidRDefault="00C179B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Arial" w:eastAsia="Arial" w:hAnsi="Arial" w:cs="Arial"/>
          <w:color w:val="000000"/>
        </w:rPr>
      </w:pPr>
    </w:p>
    <w:p w14:paraId="7254B908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HRP-308 | </w:t>
      </w:r>
      <w:r>
        <w:rPr>
          <w:rFonts w:ascii="Arial" w:eastAsia="Arial" w:hAnsi="Arial" w:cs="Arial"/>
          <w:sz w:val="24"/>
          <w:szCs w:val="24"/>
        </w:rPr>
        <w:t>02/01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/2024 </w:t>
      </w:r>
    </w:p>
    <w:p w14:paraId="374B6DF4" w14:textId="77777777" w:rsidR="00C179B9" w:rsidRDefault="00C179B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Arial" w:eastAsia="Arial" w:hAnsi="Arial" w:cs="Arial"/>
          <w:color w:val="000000"/>
        </w:rPr>
      </w:pPr>
    </w:p>
    <w:p w14:paraId="63C601D4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WORKSHEET: Pre-Review</w:t>
      </w:r>
    </w:p>
    <w:p w14:paraId="3E411A33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purpose of this worksheet is to provide support for IRB staff </w:t>
      </w:r>
      <w:r>
        <w:rPr>
          <w:rFonts w:ascii="Arial" w:eastAsia="Arial" w:hAnsi="Arial" w:cs="Arial"/>
        </w:rPr>
        <w:t>conducting</w:t>
      </w:r>
      <w:r>
        <w:rPr>
          <w:rFonts w:ascii="Arial" w:eastAsia="Arial" w:hAnsi="Arial" w:cs="Arial"/>
          <w:color w:val="000000"/>
        </w:rPr>
        <w:t xml:space="preserve"> screening submission materials.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</w:p>
    <w:p w14:paraId="6296FDDA" w14:textId="77777777" w:rsidR="00C179B9" w:rsidRDefault="00000000">
      <w:pPr>
        <w:numPr>
          <w:ilvl w:val="0"/>
          <w:numId w:val="1"/>
        </w:num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All Reviews</w:t>
      </w:r>
    </w:p>
    <w:p w14:paraId="5595808A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0"/>
          <w:id w:val="-105785594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Determine the </w:t>
      </w:r>
      <w:r>
        <w:rPr>
          <w:rFonts w:ascii="Arial" w:eastAsia="Arial" w:hAnsi="Arial" w:cs="Arial"/>
          <w:color w:val="000000"/>
          <w:u w:val="single"/>
        </w:rPr>
        <w:t>Human Research</w:t>
      </w:r>
      <w:r>
        <w:rPr>
          <w:rFonts w:ascii="Arial" w:eastAsia="Arial" w:hAnsi="Arial" w:cs="Arial"/>
          <w:color w:val="000000"/>
        </w:rPr>
        <w:t xml:space="preserve"> laws that apply to the Human Research and indicate in the “Regulatory Oversight” section of the Pre-Review Activity.</w:t>
      </w:r>
    </w:p>
    <w:p w14:paraId="637120FF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1"/>
          <w:id w:val="156097613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Determine whether the </w:t>
      </w:r>
      <w:r>
        <w:rPr>
          <w:rFonts w:ascii="Arial" w:eastAsia="Arial" w:hAnsi="Arial" w:cs="Arial"/>
          <w:color w:val="000000"/>
          <w:u w:val="single"/>
        </w:rPr>
        <w:t>Human Research</w:t>
      </w:r>
      <w:r>
        <w:rPr>
          <w:rFonts w:ascii="Arial" w:eastAsia="Arial" w:hAnsi="Arial" w:cs="Arial"/>
          <w:color w:val="000000"/>
        </w:rPr>
        <w:t xml:space="preserve"> has received all required ancillary reviews (per HRP-309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color w:val="000000"/>
        </w:rPr>
        <w:t xml:space="preserve"> WORKSHEET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color w:val="000000"/>
        </w:rPr>
        <w:t xml:space="preserve"> Ancillary Review Matrix) and approval by the appropriate committees and officials.</w:t>
      </w:r>
    </w:p>
    <w:p w14:paraId="060BC1F0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2"/>
          <w:id w:val="-121611430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If the </w:t>
      </w:r>
      <w:r>
        <w:rPr>
          <w:rFonts w:ascii="Arial" w:eastAsia="Arial" w:hAnsi="Arial" w:cs="Arial"/>
          <w:color w:val="000000"/>
          <w:u w:val="single"/>
        </w:rPr>
        <w:t>Human Research</w:t>
      </w:r>
      <w:r>
        <w:rPr>
          <w:rFonts w:ascii="Arial" w:eastAsia="Arial" w:hAnsi="Arial" w:cs="Arial"/>
          <w:color w:val="000000"/>
        </w:rPr>
        <w:t xml:space="preserve"> could be subject to EU GDPR, send to HRPP Director or Designee for consideration of review by privacy office and legal counsel.</w:t>
      </w:r>
    </w:p>
    <w:p w14:paraId="0C1BCBDD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3"/>
          <w:id w:val="-55601168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If there is a HIPAA authorization, review using HRP-330 – WORKSHEET – HIPAA Authorization.</w:t>
      </w:r>
    </w:p>
    <w:p w14:paraId="21688F31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4"/>
          <w:id w:val="166320239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If a HIPAA waiver of authorization is required, grant using HRP-441 – CHECKLIST – HIPAA Waiver of Authorization.</w:t>
      </w:r>
    </w:p>
    <w:p w14:paraId="4349FD3A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b/>
          <w:color w:val="000000"/>
        </w:rPr>
        <w:sectPr w:rsidR="00C179B9" w:rsidSect="004C3B0F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720" w:right="720" w:bottom="720" w:left="720" w:header="720" w:footer="720" w:gutter="0"/>
          <w:pgNumType w:start="1"/>
          <w:cols w:space="720"/>
          <w:titlePg/>
        </w:sectPr>
      </w:pPr>
      <w:r>
        <w:rPr>
          <w:rFonts w:ascii="Arial" w:eastAsia="Arial" w:hAnsi="Arial" w:cs="Arial"/>
          <w:b/>
          <w:color w:val="000000"/>
        </w:rPr>
        <w:t xml:space="preserve">Note any missing materials necessary for review in the “Notes” section </w:t>
      </w:r>
      <w:proofErr w:type="gramStart"/>
      <w:r>
        <w:rPr>
          <w:rFonts w:ascii="Arial" w:eastAsia="Arial" w:hAnsi="Arial" w:cs="Arial"/>
          <w:b/>
          <w:color w:val="000000"/>
        </w:rPr>
        <w:t>of  HRP</w:t>
      </w:r>
      <w:proofErr w:type="gramEnd"/>
      <w:r>
        <w:rPr>
          <w:rFonts w:ascii="Arial" w:eastAsia="Arial" w:hAnsi="Arial" w:cs="Arial"/>
          <w:b/>
          <w:color w:val="000000"/>
        </w:rPr>
        <w:t>-401 - Checklist - Pre-Review:</w:t>
      </w:r>
    </w:p>
    <w:p w14:paraId="08847D47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5"/>
          <w:id w:val="114663429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Completed Huron IRB application</w:t>
      </w:r>
    </w:p>
    <w:p w14:paraId="5DC6D326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6"/>
          <w:id w:val="34113208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Investigator Protocol</w:t>
      </w:r>
    </w:p>
    <w:p w14:paraId="2F9F4826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7"/>
          <w:id w:val="-186612693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Consent document(s) or script(s)</w:t>
      </w:r>
    </w:p>
    <w:p w14:paraId="0C9FB080" w14:textId="77777777" w:rsidR="00C179B9" w:rsidRDefault="00C179B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</w:p>
    <w:p w14:paraId="6542D80B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8"/>
          <w:id w:val="-209723683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Data collection instruments</w:t>
      </w:r>
    </w:p>
    <w:p w14:paraId="50670B04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  <w:sectPr w:rsidR="00C179B9" w:rsidSect="004C3B0F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  <w:titlePg/>
        </w:sectPr>
      </w:pPr>
      <w:sdt>
        <w:sdtPr>
          <w:tag w:val="goog_rdk_9"/>
          <w:id w:val="-132435462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Written material to be seen or heard by subjects</w:t>
      </w:r>
    </w:p>
    <w:p w14:paraId="1C1E7D4F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10"/>
          <w:id w:val="-171265511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Determine whether any new information has been provided (For example, a new risk.) If so, follow HRP-024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color w:val="000000"/>
        </w:rPr>
        <w:t xml:space="preserve"> SOP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color w:val="000000"/>
        </w:rPr>
        <w:t xml:space="preserve"> New Information)</w:t>
      </w:r>
    </w:p>
    <w:p w14:paraId="58BA05E8" w14:textId="77777777" w:rsidR="00C179B9" w:rsidRDefault="00000000">
      <w:pPr>
        <w:numPr>
          <w:ilvl w:val="0"/>
          <w:numId w:val="1"/>
        </w:num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INITIAL REVIEW and MODIFICATION (when the modification affects one of the following)</w:t>
      </w:r>
    </w:p>
    <w:p w14:paraId="738176AF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</w:pP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 xml:space="preserve"> If the submission includes a request to serve as the single IRB of record (</w:t>
      </w:r>
      <w:proofErr w:type="spellStart"/>
      <w:r>
        <w:rPr>
          <w:rFonts w:ascii="Arial" w:eastAsia="Arial" w:hAnsi="Arial" w:cs="Arial"/>
        </w:rPr>
        <w:t>sIRB</w:t>
      </w:r>
      <w:proofErr w:type="spellEnd"/>
      <w:r>
        <w:rPr>
          <w:rFonts w:ascii="Arial" w:eastAsia="Arial" w:hAnsi="Arial" w:cs="Arial"/>
        </w:rPr>
        <w:t xml:space="preserve">) for a </w:t>
      </w:r>
      <w:r>
        <w:rPr>
          <w:rFonts w:ascii="Arial" w:eastAsia="Arial" w:hAnsi="Arial" w:cs="Arial"/>
          <w:u w:val="single"/>
        </w:rPr>
        <w:t>Cooperative Study</w:t>
      </w:r>
      <w:r>
        <w:rPr>
          <w:rFonts w:ascii="Arial" w:eastAsia="Arial" w:hAnsi="Arial" w:cs="Arial"/>
        </w:rPr>
        <w:t xml:space="preserve"> or </w:t>
      </w:r>
      <w:r>
        <w:rPr>
          <w:rFonts w:ascii="Arial" w:eastAsia="Arial" w:hAnsi="Arial" w:cs="Arial"/>
          <w:u w:val="single"/>
        </w:rPr>
        <w:t>Multi-Site Study</w:t>
      </w:r>
      <w:r>
        <w:rPr>
          <w:rFonts w:ascii="Arial" w:eastAsia="Arial" w:hAnsi="Arial" w:cs="Arial"/>
        </w:rPr>
        <w:t xml:space="preserve">, determine if an </w:t>
      </w:r>
      <w:r>
        <w:rPr>
          <w:rFonts w:ascii="Arial" w:eastAsia="Arial" w:hAnsi="Arial" w:cs="Arial"/>
          <w:u w:val="single"/>
        </w:rPr>
        <w:t>authorization agreement</w:t>
      </w:r>
      <w:r>
        <w:rPr>
          <w:rFonts w:ascii="Arial" w:eastAsia="Arial" w:hAnsi="Arial" w:cs="Arial"/>
        </w:rPr>
        <w:t xml:space="preserve"> is needed using HRP-801 - SOP - Establishing Authorization Agreements.</w:t>
      </w:r>
    </w:p>
    <w:p w14:paraId="48B31CDF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11"/>
          <w:id w:val="-210194208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 For initial reviews, determine whether the principal investigator has any lapsed studies. If so, list in the “Notes” section of HRP-401 - Checklist - Pre-Review.</w:t>
      </w:r>
    </w:p>
    <w:p w14:paraId="1A677640" w14:textId="77777777" w:rsidR="00C179B9" w:rsidRDefault="00000000">
      <w:pP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☐ If the research involves new personnel, confirm all training requirements are satisfied.  </w:t>
      </w:r>
    </w:p>
    <w:p w14:paraId="0E30238F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MS Gothic" w:eastAsia="MS Gothic" w:hAnsi="MS Gothic" w:cs="MS Gothic"/>
        </w:rPr>
      </w:pPr>
      <w:r>
        <w:rPr>
          <w:rFonts w:ascii="Arial" w:eastAsia="Arial" w:hAnsi="Arial" w:cs="Arial"/>
          <w:color w:val="000000"/>
        </w:rPr>
        <w:t xml:space="preserve">☐ If the research involves FDA oversight, confirm the principal investigator is not listed on the FDA debarment list.  </w:t>
      </w:r>
    </w:p>
    <w:p w14:paraId="67D0E22A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☐If the research involves clinical activities, confirm privileges of staff conducting clinical activities.</w:t>
      </w:r>
      <w:r>
        <w:rPr>
          <w:rFonts w:ascii="MS Gothic" w:eastAsia="MS Gothic" w:hAnsi="MS Gothic" w:cs="MS Gothic"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 xml:space="preserve"> </w:t>
      </w:r>
    </w:p>
    <w:p w14:paraId="53814E75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☐ If the research involves the use of a drug use the HRP-306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color w:val="000000"/>
        </w:rPr>
        <w:t xml:space="preserve"> WORKSHEET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color w:val="000000"/>
        </w:rPr>
        <w:t xml:space="preserve"> Drugs.</w:t>
      </w:r>
    </w:p>
    <w:p w14:paraId="22ABB93F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12"/>
          <w:id w:val="-15191079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If the research involves the use of a device use the HRP-307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color w:val="000000"/>
        </w:rPr>
        <w:t xml:space="preserve">WORKSHEET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color w:val="000000"/>
        </w:rPr>
        <w:t xml:space="preserve"> Devices.</w:t>
      </w:r>
    </w:p>
    <w:p w14:paraId="30EE5817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13"/>
          <w:id w:val="189878394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Note any special determinations that need to be made by the convened IRB or </w:t>
      </w:r>
      <w:r>
        <w:rPr>
          <w:rFonts w:ascii="Arial" w:eastAsia="Arial" w:hAnsi="Arial" w:cs="Arial"/>
          <w:color w:val="000000"/>
          <w:u w:val="single"/>
        </w:rPr>
        <w:t>Designated Reviewer</w:t>
      </w:r>
      <w:r>
        <w:rPr>
          <w:rFonts w:ascii="Arial" w:eastAsia="Arial" w:hAnsi="Arial" w:cs="Arial"/>
          <w:color w:val="000000"/>
        </w:rPr>
        <w:t xml:space="preserve"> in the “Special Determinations” section of the Pre-Review Activity.</w:t>
      </w:r>
    </w:p>
    <w:p w14:paraId="42B638A8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14"/>
          <w:id w:val="185113935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If the device meets the abbreviated IDE requirements, note “</w:t>
      </w:r>
      <w:proofErr w:type="gramStart"/>
      <w:r>
        <w:rPr>
          <w:rFonts w:ascii="Arial" w:eastAsia="Arial" w:hAnsi="Arial" w:cs="Arial"/>
          <w:color w:val="000000"/>
        </w:rPr>
        <w:t>Non significant</w:t>
      </w:r>
      <w:proofErr w:type="gramEnd"/>
      <w:r>
        <w:rPr>
          <w:rFonts w:ascii="Arial" w:eastAsia="Arial" w:hAnsi="Arial" w:cs="Arial"/>
          <w:color w:val="000000"/>
        </w:rPr>
        <w:t xml:space="preserve"> risk device determination” in the “Special Determinations” section of the Pre-Review Activity.</w:t>
      </w:r>
    </w:p>
    <w:bookmarkStart w:id="0" w:name="_heading=h.gjdgxs" w:colFirst="0" w:colLast="0"/>
    <w:bookmarkEnd w:id="0"/>
    <w:p w14:paraId="63A857C0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15"/>
          <w:id w:val="-174840862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If the research is NIH-funded (regardless of whether the investigator has indicated the use of a Certificate of Confidentiality), note the presence of a Certificate of Confidentiality in the Protocol Tracking section of the Pre-Review Checklist.</w:t>
      </w:r>
    </w:p>
    <w:p w14:paraId="4C3B4EF8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b/>
          <w:color w:val="000000"/>
        </w:rPr>
        <w:sectPr w:rsidR="00C179B9" w:rsidSect="004C3B0F">
          <w:type w:val="continuous"/>
          <w:pgSz w:w="12240" w:h="15840"/>
          <w:pgMar w:top="720" w:right="720" w:bottom="720" w:left="720" w:header="720" w:footer="720" w:gutter="0"/>
          <w:cols w:space="720"/>
          <w:titlePg/>
        </w:sectPr>
      </w:pPr>
      <w:r>
        <w:rPr>
          <w:rFonts w:ascii="Arial" w:eastAsia="Arial" w:hAnsi="Arial" w:cs="Arial"/>
          <w:b/>
          <w:color w:val="000000"/>
        </w:rPr>
        <w:t xml:space="preserve">Note any missing materials necessary for review in the “Notes” section </w:t>
      </w:r>
      <w:proofErr w:type="gramStart"/>
      <w:r>
        <w:rPr>
          <w:rFonts w:ascii="Arial" w:eastAsia="Arial" w:hAnsi="Arial" w:cs="Arial"/>
          <w:b/>
          <w:color w:val="000000"/>
        </w:rPr>
        <w:t>of  HRP</w:t>
      </w:r>
      <w:proofErr w:type="gramEnd"/>
      <w:r>
        <w:rPr>
          <w:rFonts w:ascii="Arial" w:eastAsia="Arial" w:hAnsi="Arial" w:cs="Arial"/>
          <w:b/>
          <w:color w:val="000000"/>
        </w:rPr>
        <w:t>-401 - Checklist - Pre-Review:</w:t>
      </w:r>
    </w:p>
    <w:p w14:paraId="1A51615A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16"/>
          <w:id w:val="4095121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Qualifications of the key personnel</w:t>
      </w:r>
    </w:p>
    <w:p w14:paraId="3F108AB1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17"/>
          <w:id w:val="-1024318592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Complete sponsor protocol (including DHHS protocol)</w:t>
      </w:r>
    </w:p>
    <w:p w14:paraId="78A58FB3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18"/>
          <w:id w:val="64833105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DHHS- approved sample consent document</w:t>
      </w:r>
    </w:p>
    <w:p w14:paraId="0286B959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19"/>
          <w:id w:val="-55238277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Investigator brochure for investigational drug</w:t>
      </w:r>
    </w:p>
    <w:p w14:paraId="05812D6E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20"/>
          <w:id w:val="-173969546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Package insert for marketed drugs</w:t>
      </w:r>
    </w:p>
    <w:p w14:paraId="47B87AE0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21"/>
          <w:id w:val="185367521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Executed Reliance Agreement(s)</w:t>
      </w:r>
    </w:p>
    <w:p w14:paraId="0B4ED0C5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22"/>
          <w:id w:val="1381519292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Product information for medical devices</w:t>
      </w:r>
    </w:p>
    <w:p w14:paraId="69ABC8E4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23"/>
          <w:id w:val="115603090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For Department of Education (ED) research ensure that a permission letter has been submitted attesting compliance with FERPA and PPRA</w:t>
      </w:r>
    </w:p>
    <w:p w14:paraId="7E46BCEC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☐ For the Department of Defense research involving DOD-affiliated personnel, ensure </w:t>
      </w:r>
      <w:proofErr w:type="gramStart"/>
      <w:r>
        <w:rPr>
          <w:rFonts w:ascii="Arial" w:eastAsia="Arial" w:hAnsi="Arial" w:cs="Arial"/>
          <w:color w:val="000000"/>
        </w:rPr>
        <w:t>approval  to</w:t>
      </w:r>
      <w:proofErr w:type="gramEnd"/>
      <w:r>
        <w:rPr>
          <w:rFonts w:ascii="Arial" w:eastAsia="Arial" w:hAnsi="Arial" w:cs="Arial"/>
          <w:color w:val="000000"/>
        </w:rPr>
        <w:t xml:space="preserve"> conduct the research is submitted from the DOD-affiliated personnel’s command or DOD HRPP </w:t>
      </w:r>
    </w:p>
    <w:p w14:paraId="7ACAB1BA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</w:rPr>
        <w:sectPr w:rsidR="00C179B9" w:rsidSect="004C3B0F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  <w:titlePg/>
        </w:sectPr>
      </w:pPr>
      <w:sdt>
        <w:sdtPr>
          <w:tag w:val="goog_rdk_24"/>
          <w:id w:val="8998144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For research sharing a Limited Data Set (LDS) from VCUHS to an external entity, a Data Use Agreement for LDS form signed by investigator </w:t>
      </w:r>
    </w:p>
    <w:p w14:paraId="4D11207C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b/>
          <w:color w:val="000000"/>
        </w:rPr>
        <w:sectPr w:rsidR="00C179B9" w:rsidSect="004C3B0F">
          <w:type w:val="continuous"/>
          <w:pgSz w:w="12240" w:h="15840"/>
          <w:pgMar w:top="720" w:right="720" w:bottom="720" w:left="720" w:header="720" w:footer="720" w:gutter="0"/>
          <w:cols w:space="720"/>
          <w:titlePg/>
        </w:sectPr>
      </w:pPr>
      <w:r>
        <w:rPr>
          <w:rFonts w:ascii="Arial" w:eastAsia="Arial" w:hAnsi="Arial" w:cs="Arial"/>
          <w:b/>
          <w:color w:val="000000"/>
        </w:rPr>
        <w:t>Note missing/inappropriately answered Investigator Protocol sections in the “Notes” section of HRP-401 - Checklist - Pre-Review:</w:t>
      </w:r>
    </w:p>
    <w:p w14:paraId="25180EE3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25"/>
          <w:id w:val="60400283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IRB Review History</w:t>
      </w:r>
    </w:p>
    <w:p w14:paraId="26FFEC23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26"/>
          <w:id w:val="-39157332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Objectives</w:t>
      </w:r>
    </w:p>
    <w:p w14:paraId="4312D41B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27"/>
          <w:id w:val="-200974096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Background</w:t>
      </w:r>
    </w:p>
    <w:p w14:paraId="445FDE09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28"/>
          <w:id w:val="61332544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Setting</w:t>
      </w:r>
    </w:p>
    <w:p w14:paraId="2CD5CB06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29"/>
          <w:id w:val="16174243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Resources Available</w:t>
      </w:r>
    </w:p>
    <w:p w14:paraId="20DA7129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30"/>
          <w:id w:val="149876882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Prior Approvals</w:t>
      </w:r>
    </w:p>
    <w:p w14:paraId="7733EC69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31"/>
          <w:id w:val="-190343927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Study Design</w:t>
      </w:r>
    </w:p>
    <w:p w14:paraId="1E017308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32"/>
          <w:id w:val="170836621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Recruitment Methods</w:t>
      </w:r>
    </w:p>
    <w:p w14:paraId="38A6A930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33"/>
          <w:id w:val="208455844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Inclusion/Exclusion Criteria</w:t>
      </w:r>
    </w:p>
    <w:p w14:paraId="6CB56183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34"/>
          <w:id w:val="196946365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Compensation for Injury</w:t>
      </w:r>
    </w:p>
    <w:p w14:paraId="056ADEF2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35"/>
          <w:id w:val="-15770063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Local Number of Subjects</w:t>
      </w:r>
    </w:p>
    <w:p w14:paraId="6FF7A33B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36"/>
          <w:id w:val="145404597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Total Number of Subjects</w:t>
      </w:r>
    </w:p>
    <w:p w14:paraId="0A3E0CEB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37"/>
          <w:id w:val="149692032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Study Timelines</w:t>
      </w:r>
    </w:p>
    <w:p w14:paraId="098237DD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38"/>
          <w:id w:val="86779624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Study Endpoints</w:t>
      </w:r>
    </w:p>
    <w:p w14:paraId="63A5DE5E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39"/>
          <w:id w:val="119095251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Procedures Involved</w:t>
      </w:r>
    </w:p>
    <w:p w14:paraId="6D50A81E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40"/>
          <w:id w:val="180212066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Data and Specimen Banking</w:t>
      </w:r>
    </w:p>
    <w:p w14:paraId="4A4E7D49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41"/>
          <w:id w:val="-184607894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Data Management</w:t>
      </w:r>
    </w:p>
    <w:p w14:paraId="4029330F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42"/>
          <w:id w:val="-65191305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Confidentiality</w:t>
      </w:r>
    </w:p>
    <w:p w14:paraId="0798A29D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43"/>
          <w:id w:val="156198065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Provisions to Monitor Data</w:t>
      </w:r>
    </w:p>
    <w:p w14:paraId="05A3248D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44"/>
          <w:id w:val="159327400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Withdrawal of Subjects</w:t>
      </w:r>
    </w:p>
    <w:p w14:paraId="5EBDDB96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45"/>
          <w:id w:val="-206779930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Risks to Subjects</w:t>
      </w:r>
    </w:p>
    <w:p w14:paraId="349DE355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46"/>
          <w:id w:val="210075659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Potential Benefits to Subjects</w:t>
      </w:r>
    </w:p>
    <w:p w14:paraId="2827058D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47"/>
          <w:id w:val="31206954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Provisions to Protect Privacy</w:t>
      </w:r>
    </w:p>
    <w:p w14:paraId="7C0CCB9C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48"/>
          <w:id w:val="-209084276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Economic Burden to Subjects</w:t>
      </w:r>
    </w:p>
    <w:p w14:paraId="11EC1443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49"/>
          <w:id w:val="178159571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Consent Process</w:t>
      </w:r>
    </w:p>
    <w:p w14:paraId="28D21A18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50"/>
          <w:id w:val="-103572293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Consent Documentation (e.g., scripts, forms)</w:t>
      </w:r>
    </w:p>
    <w:p w14:paraId="1F3FD6B3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51"/>
          <w:id w:val="-152778871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Vulnerable Populations</w:t>
      </w:r>
    </w:p>
    <w:p w14:paraId="6F1C4B8B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52"/>
          <w:id w:val="-16024674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Drugs or Devices</w:t>
      </w:r>
    </w:p>
    <w:p w14:paraId="2B8B0E61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53"/>
          <w:id w:val="895939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Multi-Site Research</w:t>
      </w:r>
    </w:p>
    <w:p w14:paraId="10B374E2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54"/>
          <w:id w:val="207877790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Community Based Participatory Research</w:t>
      </w:r>
    </w:p>
    <w:p w14:paraId="4F97CD2E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  <w:sectPr w:rsidR="00C179B9" w:rsidSect="004C3B0F">
          <w:type w:val="continuous"/>
          <w:pgSz w:w="12240" w:h="15840"/>
          <w:pgMar w:top="720" w:right="720" w:bottom="720" w:left="720" w:header="720" w:footer="720" w:gutter="0"/>
          <w:cols w:num="3" w:space="720" w:equalWidth="0">
            <w:col w:w="3120" w:space="720"/>
            <w:col w:w="3120" w:space="720"/>
            <w:col w:w="3120" w:space="0"/>
          </w:cols>
          <w:titlePg/>
        </w:sectPr>
      </w:pPr>
      <w:sdt>
        <w:sdtPr>
          <w:tag w:val="goog_rdk_55"/>
          <w:id w:val="-198807941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Sharing of Results</w:t>
      </w:r>
    </w:p>
    <w:p w14:paraId="0DA737B4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b/>
          <w:color w:val="000000"/>
        </w:rPr>
        <w:sectPr w:rsidR="00C179B9" w:rsidSect="004C3B0F">
          <w:type w:val="continuous"/>
          <w:pgSz w:w="12240" w:h="15840"/>
          <w:pgMar w:top="720" w:right="720" w:bottom="720" w:left="720" w:header="720" w:footer="720" w:gutter="0"/>
          <w:cols w:space="720"/>
          <w:titlePg/>
        </w:sectPr>
      </w:pPr>
      <w:r>
        <w:rPr>
          <w:rFonts w:ascii="Arial" w:eastAsia="Arial" w:hAnsi="Arial" w:cs="Arial"/>
          <w:b/>
          <w:color w:val="000000"/>
        </w:rPr>
        <w:t>“Notes” section of HRP-401 - Checklist - Pre-Review:</w:t>
      </w:r>
    </w:p>
    <w:p w14:paraId="6310ADA2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56"/>
          <w:id w:val="181051427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Research is subject to regulations not overseen or conducted by the organization</w:t>
      </w:r>
    </w:p>
    <w:p w14:paraId="11E2175E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57"/>
          <w:id w:val="-146326040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Positive financial declaration without a </w:t>
      </w:r>
      <w:proofErr w:type="gramStart"/>
      <w:r>
        <w:rPr>
          <w:rFonts w:ascii="Arial" w:eastAsia="Arial" w:hAnsi="Arial" w:cs="Arial"/>
          <w:color w:val="000000"/>
        </w:rPr>
        <w:t>Conflict of Interest</w:t>
      </w:r>
      <w:proofErr w:type="gramEnd"/>
      <w:r>
        <w:rPr>
          <w:rFonts w:ascii="Arial" w:eastAsia="Arial" w:hAnsi="Arial" w:cs="Arial"/>
          <w:color w:val="000000"/>
        </w:rPr>
        <w:t xml:space="preserve"> report</w:t>
      </w:r>
    </w:p>
    <w:p w14:paraId="29A719C3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58"/>
          <w:id w:val="4804942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Protocol information relates to an item in the list of institutional financial interests</w:t>
      </w:r>
    </w:p>
    <w:p w14:paraId="0A94128D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59"/>
          <w:id w:val="-59809817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An IND is required and there is no IND</w:t>
      </w:r>
    </w:p>
    <w:p w14:paraId="6D98745A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60"/>
          <w:id w:val="-113093206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An IND is required and there is insufficient documentation</w:t>
      </w:r>
    </w:p>
    <w:p w14:paraId="0CB48554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61"/>
          <w:id w:val="-19793350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An IDE/HDE is required and there is no IDE/HDE</w:t>
      </w:r>
    </w:p>
    <w:p w14:paraId="046B98E6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62"/>
          <w:id w:val="91351361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An IDE/HDE is required and there is insufficient documentation</w:t>
      </w:r>
    </w:p>
    <w:p w14:paraId="2ED55791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63"/>
          <w:id w:val="-207881468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There are inadequate provisions to control the drug(s) (e.g., the Investigator Brochure, package inserts, description of on-site drug control)</w:t>
      </w:r>
    </w:p>
    <w:p w14:paraId="498D2F5D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64"/>
          <w:id w:val="-76129379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There are inadequate provision to control the device(s) (e.g., device manual, description of on-site device handling)</w:t>
      </w:r>
    </w:p>
    <w:p w14:paraId="485EECE2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65"/>
          <w:id w:val="120043467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There are inadequate provisions for an investigator held IND</w:t>
      </w:r>
    </w:p>
    <w:p w14:paraId="7CB27BBB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66"/>
          <w:id w:val="-113864697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There are inadequate provisions for an investigator held IDE</w:t>
      </w:r>
    </w:p>
    <w:p w14:paraId="6641A8C5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67"/>
          <w:id w:val="-170139610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External site(s) getting federal funds from the organization does not have a </w:t>
      </w:r>
      <w:proofErr w:type="spellStart"/>
      <w:r>
        <w:rPr>
          <w:rFonts w:ascii="Arial" w:eastAsia="Arial" w:hAnsi="Arial" w:cs="Arial"/>
          <w:color w:val="000000"/>
        </w:rPr>
        <w:t>federalwide</w:t>
      </w:r>
      <w:proofErr w:type="spellEnd"/>
      <w:r>
        <w:rPr>
          <w:rFonts w:ascii="Arial" w:eastAsia="Arial" w:hAnsi="Arial" w:cs="Arial"/>
          <w:color w:val="000000"/>
        </w:rPr>
        <w:t xml:space="preserve"> assurance (FWA)</w:t>
      </w:r>
    </w:p>
    <w:p w14:paraId="7FF486B9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68"/>
          <w:id w:val="28833065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 research involves adults unable to consent and statements by the investigator and legal counsel regarding which individuals are </w:t>
      </w:r>
      <w:r>
        <w:rPr>
          <w:rFonts w:ascii="Arial" w:eastAsia="Arial" w:hAnsi="Arial" w:cs="Arial"/>
          <w:color w:val="000000"/>
          <w:u w:val="single"/>
        </w:rPr>
        <w:t>Legally Authorized Representatives (LAR)</w:t>
      </w:r>
      <w:r>
        <w:rPr>
          <w:rFonts w:ascii="Arial" w:eastAsia="Arial" w:hAnsi="Arial" w:cs="Arial"/>
          <w:color w:val="000000"/>
        </w:rPr>
        <w:t xml:space="preserve"> do not match.</w:t>
      </w:r>
    </w:p>
    <w:p w14:paraId="62E15C65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  <w:sectPr w:rsidR="00C179B9" w:rsidSect="004C3B0F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  <w:titlePg/>
        </w:sectPr>
      </w:pPr>
      <w:sdt>
        <w:sdtPr>
          <w:tag w:val="goog_rdk_69"/>
          <w:id w:val="207970450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 research involves children and statements by the investigator and legal counsel regarding who can provide permission for the child if an individual is not a parent do not match</w:t>
      </w:r>
    </w:p>
    <w:p w14:paraId="7AA26BD3" w14:textId="77777777" w:rsidR="00C179B9" w:rsidRDefault="00C179B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</w:p>
    <w:p w14:paraId="440F7563" w14:textId="77777777" w:rsidR="00C179B9" w:rsidRDefault="00000000">
      <w:pPr>
        <w:numPr>
          <w:ilvl w:val="0"/>
          <w:numId w:val="1"/>
        </w:num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INITIAL REVIEW and MODIFICATIONS FOR </w:t>
      </w:r>
      <w:proofErr w:type="spellStart"/>
      <w:r>
        <w:rPr>
          <w:rFonts w:ascii="Arial" w:eastAsia="Arial" w:hAnsi="Arial" w:cs="Arial"/>
          <w:b/>
          <w:color w:val="000000"/>
        </w:rPr>
        <w:t>pSITES</w:t>
      </w:r>
      <w:proofErr w:type="spellEnd"/>
      <w:r>
        <w:rPr>
          <w:rFonts w:ascii="Arial" w:eastAsia="Arial" w:hAnsi="Arial" w:cs="Arial"/>
          <w:b/>
          <w:color w:val="000000"/>
        </w:rPr>
        <w:t xml:space="preserve"> RELYING ON THIS IRB (when the modification affects one of the following)</w:t>
      </w:r>
    </w:p>
    <w:p w14:paraId="20173AD9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70"/>
          <w:id w:val="141420093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Consent Process</w:t>
      </w:r>
      <w:r>
        <w:tab/>
      </w:r>
    </w:p>
    <w:p w14:paraId="36394F2E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630" w:firstLine="90"/>
        <w:rPr>
          <w:rFonts w:ascii="Arial" w:eastAsia="Arial" w:hAnsi="Arial" w:cs="Arial"/>
        </w:rPr>
      </w:pPr>
      <w:sdt>
        <w:sdtPr>
          <w:tag w:val="goog_rdk_71"/>
          <w:id w:val="-200365763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Protocol procedures are consistent with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age of majority state law as indicated in Institutional Profile.</w:t>
      </w:r>
    </w:p>
    <w:p w14:paraId="4F9F61F7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630" w:firstLine="90"/>
        <w:rPr>
          <w:rFonts w:ascii="Arial" w:eastAsia="Arial" w:hAnsi="Arial" w:cs="Arial"/>
        </w:rPr>
      </w:pPr>
      <w:sdt>
        <w:sdtPr>
          <w:tag w:val="goog_rdk_72"/>
          <w:id w:val="-167734303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Protocol procedures are consistent with any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policies on assent as indicated in Institutional Profile.</w:t>
      </w:r>
    </w:p>
    <w:p w14:paraId="307E1ACC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</w:rPr>
      </w:pPr>
      <w:sdt>
        <w:sdtPr>
          <w:tag w:val="goog_rdk_73"/>
          <w:id w:val="-179321060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Consent Documents</w:t>
      </w:r>
    </w:p>
    <w:p w14:paraId="70D6C452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Arial" w:eastAsia="Arial" w:hAnsi="Arial" w:cs="Arial"/>
        </w:rPr>
      </w:pPr>
      <w:sdt>
        <w:sdtPr>
          <w:tag w:val="goog_rdk_74"/>
          <w:id w:val="-35064937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Submission includes tracked version of the lead study approved version of consent document(s) (to ensure previously reviewed information and any modifications requested are present).</w:t>
      </w:r>
    </w:p>
    <w:p w14:paraId="7A36712D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ab/>
      </w:r>
      <w:sdt>
        <w:sdtPr>
          <w:tag w:val="goog_rdk_75"/>
          <w:id w:val="-91509230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consent documents include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name and PI contact information.</w:t>
      </w:r>
    </w:p>
    <w:p w14:paraId="15A0C110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Arial" w:eastAsia="Arial" w:hAnsi="Arial" w:cs="Arial"/>
        </w:rPr>
      </w:pPr>
      <w:sdt>
        <w:sdtPr>
          <w:tag w:val="goog_rdk_76"/>
          <w:id w:val="72403140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consent documents contain any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required language (e.g., injury language, genetic testing/future use of genetic material, pregnancy reporting, barcode, logo) as indicated in Institutional Profile.</w:t>
      </w:r>
    </w:p>
    <w:p w14:paraId="531B4413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</w:rPr>
      </w:pPr>
      <w:sdt>
        <w:sdtPr>
          <w:tag w:val="goog_rdk_77"/>
          <w:id w:val="-46512898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HIPAA Authorization</w:t>
      </w:r>
    </w:p>
    <w:p w14:paraId="580F6EC2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Arial" w:eastAsia="Arial" w:hAnsi="Arial" w:cs="Arial"/>
        </w:rPr>
      </w:pPr>
      <w:sdt>
        <w:sdtPr>
          <w:tag w:val="goog_rdk_78"/>
          <w:id w:val="-20525440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HIPAA authorization format is consistent with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requirement (e.g., separate or combined with consent)</w:t>
      </w:r>
    </w:p>
    <w:p w14:paraId="6318EADB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Arial" w:eastAsia="Arial" w:hAnsi="Arial" w:cs="Arial"/>
        </w:rPr>
      </w:pPr>
      <w:sdt>
        <w:sdtPr>
          <w:tag w:val="goog_rdk_79"/>
          <w:id w:val="-15099716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If HIPAA authorization language is included in the consent form, includes any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required language as indicated in HRP-815 - FORM - Institutional Profile (e.g., state law on expiration period).</w:t>
      </w:r>
    </w:p>
    <w:p w14:paraId="4DF6C05B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Arial" w:eastAsia="Arial" w:hAnsi="Arial" w:cs="Arial"/>
        </w:rPr>
      </w:pPr>
      <w:sdt>
        <w:sdtPr>
          <w:tag w:val="goog_rdk_80"/>
          <w:id w:val="-64258378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Privacy Board</w:t>
      </w:r>
    </w:p>
    <w:p w14:paraId="0E3E3303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Arial" w:eastAsia="Arial" w:hAnsi="Arial" w:cs="Arial"/>
        </w:rPr>
      </w:pPr>
      <w:sdt>
        <w:sdtPr>
          <w:tag w:val="goog_rdk_81"/>
          <w:id w:val="-127902883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Determine if the IRB is serving as the Privacy Board (documented in HRP-830 - WORKSHEET - Communication and Responsibilities in the Institutional Profile), for the study for purposes of review and approval of waivers of HIPAA authorization.</w:t>
      </w:r>
    </w:p>
    <w:p w14:paraId="0337A64D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Arial" w:eastAsia="Arial" w:hAnsi="Arial" w:cs="Arial"/>
        </w:rPr>
      </w:pPr>
      <w:sdt>
        <w:sdtPr>
          <w:tag w:val="goog_rdk_82"/>
          <w:id w:val="58488772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HIPAA is not applicable to this study.</w:t>
      </w:r>
    </w:p>
    <w:p w14:paraId="08F391E5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Arial" w:eastAsia="Arial" w:hAnsi="Arial" w:cs="Arial"/>
        </w:rPr>
      </w:pPr>
      <w:sdt>
        <w:sdtPr>
          <w:tag w:val="goog_rdk_83"/>
          <w:id w:val="90911422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Recruitment and subject-facing materials</w:t>
      </w:r>
    </w:p>
    <w:p w14:paraId="0330C155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sdt>
        <w:sdtPr>
          <w:tag w:val="goog_rdk_84"/>
          <w:id w:val="145421598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Materials are consistent with the materials approved for the lead site.</w:t>
      </w:r>
    </w:p>
    <w:p w14:paraId="00759AC3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sdt>
        <w:sdtPr>
          <w:tag w:val="goog_rdk_85"/>
          <w:id w:val="156568132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Materials are consistent with local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name/logo information.</w:t>
      </w:r>
    </w:p>
    <w:p w14:paraId="3ABEDA9A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Arial" w:eastAsia="Arial" w:hAnsi="Arial" w:cs="Arial"/>
        </w:rPr>
      </w:pPr>
      <w:sdt>
        <w:sdtPr>
          <w:tag w:val="goog_rdk_86"/>
          <w:id w:val="-139573923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Protocol and/or Site Supplement and/or Basic Site Information Form</w:t>
      </w:r>
    </w:p>
    <w:p w14:paraId="46D50C83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Arial" w:eastAsia="Arial" w:hAnsi="Arial" w:cs="Arial"/>
        </w:rPr>
      </w:pPr>
      <w:sdt>
        <w:sdtPr>
          <w:tag w:val="goog_rdk_87"/>
          <w:id w:val="169603361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Drug and Device Storage plan is present (if different from protocol) and consistent with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policy </w:t>
      </w:r>
      <w:proofErr w:type="gramStart"/>
      <w:r>
        <w:rPr>
          <w:rFonts w:ascii="Arial" w:eastAsia="Arial" w:hAnsi="Arial" w:cs="Arial"/>
        </w:rPr>
        <w:t>where</w:t>
      </w:r>
      <w:proofErr w:type="gramEnd"/>
      <w:r>
        <w:rPr>
          <w:rFonts w:ascii="Arial" w:eastAsia="Arial" w:hAnsi="Arial" w:cs="Arial"/>
        </w:rPr>
        <w:t xml:space="preserve"> indicated in Institutional Profile.</w:t>
      </w:r>
    </w:p>
    <w:p w14:paraId="764DDF71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Arial" w:eastAsia="Arial" w:hAnsi="Arial" w:cs="Arial"/>
        </w:rPr>
      </w:pPr>
      <w:sdt>
        <w:sdtPr>
          <w:tag w:val="goog_rdk_88"/>
          <w:id w:val="133410555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If the drug/device storage plan is different from the parent protocol, use HRP-306 - WORKSHEET - Drugs and Biologics.</w:t>
      </w:r>
    </w:p>
    <w:p w14:paraId="2481FACC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Arial" w:eastAsia="Arial" w:hAnsi="Arial" w:cs="Arial"/>
        </w:rPr>
      </w:pPr>
      <w:sdt>
        <w:sdtPr>
          <w:tag w:val="goog_rdk_89"/>
          <w:id w:val="68819390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Study procedures consider relevant tribal, state, or non-US laws, regulations, or policies (i.e., special populations, genetic testing, future use of genetic material) where indicated in Institutional Profile.</w:t>
      </w:r>
    </w:p>
    <w:p w14:paraId="297F2A9E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Arial" w:eastAsia="Arial" w:hAnsi="Arial" w:cs="Arial"/>
        </w:rPr>
      </w:pPr>
      <w:sdt>
        <w:sdtPr>
          <w:tag w:val="goog_rdk_90"/>
          <w:id w:val="77629323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Completed Local Funding Sources Page (if relevant)</w:t>
      </w:r>
    </w:p>
    <w:p w14:paraId="0E92C652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</w:rPr>
      </w:pPr>
      <w:sdt>
        <w:sdtPr>
          <w:tag w:val="goog_rdk_91"/>
          <w:id w:val="111640351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Without an IRB/HRPP</w:t>
      </w:r>
    </w:p>
    <w:p w14:paraId="2FCEDFE1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Arial" w:eastAsia="Arial" w:hAnsi="Arial" w:cs="Arial"/>
        </w:rPr>
      </w:pPr>
      <w:sdt>
        <w:sdtPr>
          <w:tag w:val="goog_rdk_92"/>
          <w:id w:val="-179119842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Qualifications and training of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key personnel have been provided (may request proof of human subjects and GCP training, confirmation of any special degrees or certifications needed for study procedures).</w:t>
      </w:r>
    </w:p>
    <w:p w14:paraId="2E6F7509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93"/>
          <w:id w:val="-205430348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</w:rPr>
        <w:t xml:space="preserve"> If a possible conflict exists for </w:t>
      </w:r>
      <w:proofErr w:type="spellStart"/>
      <w:r>
        <w:rPr>
          <w:rFonts w:ascii="Arial" w:eastAsia="Arial" w:hAnsi="Arial" w:cs="Arial"/>
        </w:rPr>
        <w:t>pSite</w:t>
      </w:r>
      <w:proofErr w:type="spellEnd"/>
      <w:r>
        <w:rPr>
          <w:rFonts w:ascii="Arial" w:eastAsia="Arial" w:hAnsi="Arial" w:cs="Arial"/>
        </w:rPr>
        <w:t xml:space="preserve"> personnel is indicated in the submission materials, the COI office has been notified.</w:t>
      </w:r>
    </w:p>
    <w:p w14:paraId="04E999E3" w14:textId="77777777" w:rsidR="00C179B9" w:rsidRDefault="00000000">
      <w:pPr>
        <w:numPr>
          <w:ilvl w:val="0"/>
          <w:numId w:val="1"/>
        </w:num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CONTINUING REVIEW</w:t>
      </w:r>
    </w:p>
    <w:p w14:paraId="10C1551C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94"/>
          <w:id w:val="74523003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If Continuing review is not required, ask the investigator to discard the submission.</w:t>
      </w:r>
    </w:p>
    <w:p w14:paraId="63EADD20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95"/>
          <w:id w:val="-19408419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Note missing Continuing review form in the “Notes” section of the HRP-401 - Checklist - Pre-Review.</w:t>
      </w:r>
    </w:p>
    <w:p w14:paraId="4431F92E" w14:textId="77777777" w:rsidR="00C179B9" w:rsidRDefault="00000000">
      <w:pPr>
        <w:numPr>
          <w:ilvl w:val="0"/>
          <w:numId w:val="1"/>
        </w:num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MODIFICATION</w:t>
      </w:r>
    </w:p>
    <w:p w14:paraId="4C312A69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96"/>
          <w:id w:val="106645100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Note missing modification form in the “Missing Materials” section of the Pre-Review.</w:t>
      </w:r>
    </w:p>
    <w:p w14:paraId="1534C9AD" w14:textId="77777777" w:rsidR="00C179B9" w:rsidRDefault="00000000">
      <w:pPr>
        <w:numPr>
          <w:ilvl w:val="0"/>
          <w:numId w:val="1"/>
        </w:num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STUDY CLOSURE</w:t>
      </w:r>
    </w:p>
    <w:p w14:paraId="2529A8EC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sdt>
        <w:sdtPr>
          <w:tag w:val="goog_rdk_97"/>
          <w:id w:val="-50829797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Confirm that the research meets the criteria for closure and note in the Study Closure Section the Pre-Review.</w:t>
      </w:r>
    </w:p>
    <w:p w14:paraId="4A422C9E" w14:textId="77777777" w:rsidR="00C179B9" w:rsidRDefault="00C179B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</w:p>
    <w:p w14:paraId="67B67CCB" w14:textId="77777777" w:rsidR="00C179B9" w:rsidRDefault="00C179B9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</w:rPr>
      </w:pPr>
    </w:p>
    <w:sectPr w:rsidR="00C179B9">
      <w:type w:val="continuous"/>
      <w:pgSz w:w="12240" w:h="15840"/>
      <w:pgMar w:top="720" w:right="720" w:bottom="63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6DEAA" w14:textId="77777777" w:rsidR="004C3B0F" w:rsidRDefault="004C3B0F">
      <w:pPr>
        <w:spacing w:after="0" w:line="240" w:lineRule="auto"/>
      </w:pPr>
      <w:r>
        <w:separator/>
      </w:r>
    </w:p>
  </w:endnote>
  <w:endnote w:type="continuationSeparator" w:id="0">
    <w:p w14:paraId="076E2BED" w14:textId="77777777" w:rsidR="004C3B0F" w:rsidRDefault="004C3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BF1AB2-484D-D34D-8DF8-CBC73C4433ED}"/>
    <w:embedBold r:id="rId2" w:fontKey="{02F569D0-F514-4B4A-ADFC-829036921E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BAEC0E-22B2-6543-8CFE-D23E7ECAABA3}"/>
    <w:embedBold r:id="rId4" w:fontKey="{A3318124-8FF5-9E46-912F-3446FE5BF8B6}"/>
    <w:embedItalic r:id="rId5" w:fontKey="{7687321A-B651-E141-940D-A9BF47FB97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88E1C47-A021-224E-969C-36BADFF50BF7}"/>
    <w:embedBold r:id="rId7" w:fontKey="{F3CFA5EB-B32A-5446-A515-EE330BB2FF2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20A7C3B3-8169-8041-9ACC-CB1176F8C5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9677C2D-DB3A-F64A-9FA6-BEEF481A0D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67B5C98-7F2B-F449-9E29-92276BBF20F1}"/>
    <w:embedItalic r:id="rId11" w:fontKey="{5C66F176-2BC8-EE44-BE3D-02D732C3DF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B6B282AC-00F5-D246-A8BE-BBFE2D5A53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598BD62A-FC07-474D-8F55-63AF4010F7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4426624A-DBCA-434D-8008-B3EA799A26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EA000" w14:textId="017BF93F" w:rsidR="00C179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B7CEA">
      <w:rPr>
        <w:b/>
        <w:noProof/>
        <w:color w:val="000000"/>
      </w:rPr>
      <w:t>2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B7CEA">
      <w:rPr>
        <w:b/>
        <w:noProof/>
        <w:color w:val="000000"/>
      </w:rPr>
      <w:t>3</w:t>
    </w:r>
    <w:r>
      <w:rPr>
        <w:b/>
        <w:color w:val="000000"/>
      </w:rPr>
      <w:fldChar w:fldCharType="end"/>
    </w:r>
  </w:p>
  <w:p w14:paraId="42FCF365" w14:textId="77777777" w:rsidR="00C179B9" w:rsidRDefault="00C179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4E5D" w14:textId="77777777" w:rsidR="00C179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B7CEA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B7CEA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2C1714FC" w14:textId="77777777" w:rsidR="00C179B9" w:rsidRDefault="00C179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0B897" w14:textId="77777777" w:rsidR="004C3B0F" w:rsidRDefault="004C3B0F">
      <w:pPr>
        <w:spacing w:after="0" w:line="240" w:lineRule="auto"/>
      </w:pPr>
      <w:r>
        <w:separator/>
      </w:r>
    </w:p>
  </w:footnote>
  <w:footnote w:type="continuationSeparator" w:id="0">
    <w:p w14:paraId="6D9F678B" w14:textId="77777777" w:rsidR="004C3B0F" w:rsidRDefault="004C3B0F">
      <w:pPr>
        <w:spacing w:after="0" w:line="240" w:lineRule="auto"/>
      </w:pPr>
      <w:r>
        <w:continuationSeparator/>
      </w:r>
    </w:p>
  </w:footnote>
  <w:footnote w:id="1">
    <w:p w14:paraId="20049F7E" w14:textId="77777777" w:rsidR="00C179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This document satisfies AAHRPP elements I-9, II.2.C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A1F55" w14:textId="77777777" w:rsidR="00C179B9" w:rsidRDefault="00C179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9DF16" w14:textId="77777777" w:rsidR="00C179B9" w:rsidRDefault="00000000">
    <w:pP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7FE15CEE" wp14:editId="03B709EE">
          <wp:extent cx="3257378" cy="402263"/>
          <wp:effectExtent l="0" t="0" r="0" b="0"/>
          <wp:docPr id="8" name="image1.png" descr="Emblem with Virginia Commonwealth University and the Egyptian building.  VCU Research and Innova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mblem with Virginia Commonwealth University and the Egyptian building.  VCU Research and Innova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57378" cy="402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FA7673"/>
    <w:multiLevelType w:val="multilevel"/>
    <w:tmpl w:val="C63EF3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0EF435B"/>
    <w:multiLevelType w:val="multilevel"/>
    <w:tmpl w:val="6AD84864"/>
    <w:lvl w:ilvl="0">
      <w:start w:val="1"/>
      <w:numFmt w:val="decimal"/>
      <w:pStyle w:val="ChecklistSimp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24224900">
    <w:abstractNumId w:val="0"/>
  </w:num>
  <w:num w:numId="2" w16cid:durableId="957300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9B9"/>
    <w:rsid w:val="004C3B0F"/>
    <w:rsid w:val="00C179B9"/>
    <w:rsid w:val="00EB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A9810A"/>
  <w15:docId w15:val="{870A558A-0577-9B46-94F2-592D042FC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Pr>
      <w:i/>
      <w:iCs/>
    </w:rPr>
  </w:style>
  <w:style w:type="character" w:styleId="IntenseEmphasis">
    <w:name w:val="Intense Emphasis"/>
    <w:basedOn w:val="DefaultParagraphFont"/>
    <w:uiPriority w:val="21"/>
    <w:rPr>
      <w:i/>
      <w:iCs/>
      <w:color w:val="4472C4" w:themeColor="accent1"/>
    </w:rPr>
  </w:style>
  <w:style w:type="paragraph" w:customStyle="1" w:styleId="DocumentTitle-HCG">
    <w:name w:val="Document Title - HCG"/>
    <w:basedOn w:val="Normal"/>
    <w:link w:val="DocumentTitle-HCGChar"/>
    <w:qFormat/>
    <w:pPr>
      <w:spacing w:line="240" w:lineRule="auto"/>
      <w:jc w:val="center"/>
    </w:pPr>
    <w:rPr>
      <w:rFonts w:ascii="Arial" w:hAnsi="Arial" w:cs="Arial"/>
      <w:b/>
      <w:sz w:val="32"/>
      <w:szCs w:val="36"/>
    </w:rPr>
  </w:style>
  <w:style w:type="paragraph" w:customStyle="1" w:styleId="SectionHeading-HCG">
    <w:name w:val="Section Heading - HCG"/>
    <w:basedOn w:val="DocumentTitle-HCG"/>
    <w:link w:val="SectionHeading-HCGChar"/>
    <w:qFormat/>
    <w:pPr>
      <w:pBdr>
        <w:top w:val="single" w:sz="4" w:space="1" w:color="AEAAAA" w:themeColor="background2" w:themeShade="BF"/>
        <w:left w:val="single" w:sz="4" w:space="4" w:color="AEAAAA" w:themeColor="background2" w:themeShade="BF"/>
        <w:bottom w:val="single" w:sz="4" w:space="1" w:color="AEAAAA" w:themeColor="background2" w:themeShade="BF"/>
        <w:right w:val="single" w:sz="4" w:space="4" w:color="AEAAAA" w:themeColor="background2" w:themeShade="BF"/>
      </w:pBdr>
      <w:shd w:val="pct12" w:color="auto" w:fill="auto"/>
      <w:jc w:val="left"/>
    </w:pPr>
    <w:rPr>
      <w:bCs/>
      <w:sz w:val="24"/>
      <w:szCs w:val="24"/>
    </w:rPr>
  </w:style>
  <w:style w:type="character" w:customStyle="1" w:styleId="DocumentTitle-HCGChar">
    <w:name w:val="Document Title - HCG Char"/>
    <w:basedOn w:val="DefaultParagraphFont"/>
    <w:link w:val="DocumentTitle-HCG"/>
    <w:rPr>
      <w:rFonts w:ascii="Arial" w:hAnsi="Arial" w:cs="Arial"/>
      <w:b/>
      <w:sz w:val="32"/>
      <w:szCs w:val="36"/>
    </w:rPr>
  </w:style>
  <w:style w:type="character" w:styleId="SubtleReference">
    <w:name w:val="Subtle Reference"/>
    <w:basedOn w:val="DefaultParagraphFont"/>
    <w:uiPriority w:val="31"/>
    <w:rPr>
      <w:smallCaps/>
      <w:color w:val="5A5A5A" w:themeColor="text1" w:themeTint="A5"/>
    </w:rPr>
  </w:style>
  <w:style w:type="character" w:customStyle="1" w:styleId="SectionHeading-HCGChar">
    <w:name w:val="Section Heading - HCG Char"/>
    <w:basedOn w:val="DocumentTitle-HCGChar"/>
    <w:link w:val="SectionHeading-HCG"/>
    <w:rPr>
      <w:rFonts w:ascii="Arial" w:hAnsi="Arial" w:cs="Arial"/>
      <w:b/>
      <w:bCs/>
      <w:sz w:val="24"/>
      <w:szCs w:val="24"/>
      <w:shd w:val="pct12" w:color="auto" w:fill="auto"/>
    </w:rPr>
  </w:style>
  <w:style w:type="paragraph" w:customStyle="1" w:styleId="PrimarySectionTextHangingCheckboxes-HCG">
    <w:name w:val="Primary Section Text (Hanging/Checkboxes) - HCG"/>
    <w:basedOn w:val="Normal"/>
    <w:link w:val="PrimarySectionTextHangingCheckboxes-HCGChar"/>
    <w:qFormat/>
    <w:pPr>
      <w:spacing w:after="120" w:line="276" w:lineRule="auto"/>
      <w:ind w:left="288" w:hanging="288"/>
    </w:pPr>
    <w:rPr>
      <w:rFonts w:ascii="Arial" w:hAnsi="Arial"/>
    </w:rPr>
  </w:style>
  <w:style w:type="paragraph" w:customStyle="1" w:styleId="Sub-SectionText-HCG">
    <w:name w:val="Sub-Section Text - HCG"/>
    <w:basedOn w:val="Normal"/>
    <w:link w:val="Sub-SectionText-HCGChar"/>
    <w:qFormat/>
    <w:pPr>
      <w:spacing w:after="120" w:line="324" w:lineRule="auto"/>
      <w:ind w:left="864" w:hanging="288"/>
      <w:contextualSpacing/>
    </w:pPr>
    <w:rPr>
      <w:rFonts w:ascii="Arial" w:hAnsi="Arial"/>
    </w:rPr>
  </w:style>
  <w:style w:type="paragraph" w:customStyle="1" w:styleId="SecondarySub-SectionText-HCG">
    <w:name w:val="Secondary Sub-Section Text - HCG"/>
    <w:basedOn w:val="Normal"/>
    <w:link w:val="SecondarySub-SectionText-HCGChar"/>
    <w:qFormat/>
    <w:pPr>
      <w:spacing w:after="120" w:line="324" w:lineRule="auto"/>
      <w:ind w:left="1728" w:hanging="288"/>
      <w:contextualSpacing/>
    </w:pPr>
    <w:rPr>
      <w:rFonts w:ascii="Arial" w:hAnsi="Arial"/>
    </w:rPr>
  </w:style>
  <w:style w:type="character" w:customStyle="1" w:styleId="Sub-SectionText-HCGChar">
    <w:name w:val="Sub-Section Text - HCG Char"/>
    <w:basedOn w:val="DefaultParagraphFont"/>
    <w:link w:val="Sub-SectionText-HCG"/>
    <w:rPr>
      <w:rFonts w:ascii="Arial" w:hAnsi="Arial"/>
    </w:rPr>
  </w:style>
  <w:style w:type="character" w:customStyle="1" w:styleId="SecondarySub-SectionText-HCGChar">
    <w:name w:val="Secondary Sub-Section Text - HCG Char"/>
    <w:basedOn w:val="DefaultParagraphFont"/>
    <w:link w:val="SecondarySub-SectionText-HCG"/>
    <w:rPr>
      <w:rFonts w:ascii="Arial" w:hAnsi="Arial"/>
    </w:rPr>
  </w:style>
  <w:style w:type="table" w:customStyle="1" w:styleId="GrayBandedRowTable-HCG">
    <w:name w:val="Gray Banded Row Table - HCG"/>
    <w:basedOn w:val="TableNormal"/>
    <w:uiPriority w:val="99"/>
    <w:pPr>
      <w:spacing w:after="0" w:line="240" w:lineRule="auto"/>
    </w:pPr>
    <w:rPr>
      <w:rFonts w:ascii="Arial" w:hAnsi="Arial"/>
      <w:sz w:val="24"/>
    </w:rPr>
    <w:tblPr>
      <w:tblStyleRowBandSize w:val="1"/>
      <w:tblBorders>
        <w:top w:val="single" w:sz="4" w:space="0" w:color="AEAAAA" w:themeColor="background2" w:themeShade="BF"/>
        <w:left w:val="single" w:sz="4" w:space="0" w:color="AEAAAA" w:themeColor="background2" w:themeShade="BF"/>
        <w:bottom w:val="single" w:sz="4" w:space="0" w:color="AEAAAA" w:themeColor="background2" w:themeShade="BF"/>
        <w:right w:val="single" w:sz="4" w:space="0" w:color="AEAAAA" w:themeColor="background2" w:themeShade="BF"/>
        <w:insideH w:val="single" w:sz="4" w:space="0" w:color="AEAAAA" w:themeColor="background2" w:themeShade="BF"/>
        <w:insideV w:val="single" w:sz="4" w:space="0" w:color="AEAAAA" w:themeColor="background2" w:themeShade="BF"/>
      </w:tblBorders>
    </w:tblPr>
    <w:tblStylePr w:type="firstRow">
      <w:rPr>
        <w:rFonts w:ascii="Arial" w:hAnsi="Arial"/>
        <w:b/>
        <w:sz w:val="24"/>
      </w:rPr>
    </w:tblStylePr>
    <w:tblStylePr w:type="band2Horz">
      <w:tblPr/>
      <w:tcPr>
        <w:tc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cBorders>
        <w:shd w:val="clear" w:color="auto" w:fill="BFBFBF" w:themeFill="background1" w:themeFillShade="BF"/>
      </w:tcPr>
    </w:tblStyle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1DFDD"/>
    </w:rPr>
  </w:style>
  <w:style w:type="paragraph" w:customStyle="1" w:styleId="SectionInstructions-HCG">
    <w:name w:val="Section Instructions - HCG"/>
    <w:basedOn w:val="Sub-SectionText-HCG"/>
    <w:link w:val="SectionInstructions-HCG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2" w:color="auto" w:fill="auto"/>
      <w:spacing w:line="276" w:lineRule="auto"/>
      <w:ind w:left="288"/>
    </w:pPr>
  </w:style>
  <w:style w:type="character" w:customStyle="1" w:styleId="SectionInstructions-HCGChar">
    <w:name w:val="Section Instructions - HCG Char"/>
    <w:basedOn w:val="Sub-SectionText-HCGChar"/>
    <w:link w:val="SectionInstructions-HCG"/>
    <w:rPr>
      <w:rFonts w:ascii="Arial" w:hAnsi="Arial"/>
      <w:shd w:val="pct12" w:color="auto" w:fill="auto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PrimarySectionTextNoHangingIndent-HCG">
    <w:name w:val="Primary Section Text No Hanging Indent - HCG"/>
    <w:basedOn w:val="PrimarySectionTextHangingCheckboxes-HCG"/>
    <w:link w:val="PrimarySectionTextNoHangingIndent-HCGChar"/>
    <w:qFormat/>
    <w:pPr>
      <w:ind w:left="0" w:firstLine="0"/>
    </w:pPr>
  </w:style>
  <w:style w:type="character" w:customStyle="1" w:styleId="PrimarySectionTextHangingCheckboxes-HCGChar">
    <w:name w:val="Primary Section Text (Hanging/Checkboxes) - HCG Char"/>
    <w:basedOn w:val="DefaultParagraphFont"/>
    <w:link w:val="PrimarySectionTextHangingCheckboxes-HCG"/>
    <w:rPr>
      <w:rFonts w:ascii="Arial" w:hAnsi="Arial"/>
    </w:rPr>
  </w:style>
  <w:style w:type="character" w:customStyle="1" w:styleId="PrimarySectionTextNoHangingIndent-HCGChar">
    <w:name w:val="Primary Section Text No Hanging Indent - HCG Char"/>
    <w:basedOn w:val="PrimarySectionTextHangingCheckboxes-HCGChar"/>
    <w:link w:val="PrimarySectionTextNoHangingIndent-HCG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rFonts w:ascii="Arial" w:hAnsi="Arial"/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Arial" w:hAnsi="Arial"/>
      <w:sz w:val="18"/>
      <w:szCs w:val="20"/>
    </w:r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customStyle="1" w:styleId="ChecklistSimple">
    <w:name w:val="Checklist Simple"/>
    <w:basedOn w:val="Normal"/>
    <w:pPr>
      <w:numPr>
        <w:numId w:val="2"/>
      </w:numPr>
      <w:spacing w:after="0" w:line="240" w:lineRule="auto"/>
    </w:pPr>
    <w:rPr>
      <w:rFonts w:ascii="Arial Narrow" w:eastAsia="Times New Roman" w:hAnsi="Arial Narrow" w:cs="Times New Roman"/>
      <w:sz w:val="20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customStyle="1" w:styleId="SOPFooter">
    <w:name w:val="SOP Footer"/>
    <w:basedOn w:val="Normal"/>
    <w:pPr>
      <w:spacing w:after="0" w:line="240" w:lineRule="auto"/>
      <w:jc w:val="center"/>
    </w:pPr>
    <w:rPr>
      <w:rFonts w:ascii="Arial" w:eastAsia="Times New Roman" w:hAnsi="Arial" w:cs="Tahoma"/>
      <w:sz w:val="18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BHm8F2iSforuVJOzsAvCG+qS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zIIaC5namRneHM4AHIhMXAwUVQwNFlPdzNNM2dQUnZncDJra2FjNkNjcFB6UG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1352</Words>
  <Characters>7883</Characters>
  <Application>Microsoft Office Word</Application>
  <DocSecurity>0</DocSecurity>
  <Lines>192</Lines>
  <Paragraphs>58</Paragraphs>
  <ScaleCrop>false</ScaleCrop>
  <Company/>
  <LinksUpToDate>false</LinksUpToDate>
  <CharactersWithSpaces>9177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Isley</dc:creator>
  <cp:lastModifiedBy>jenny rice</cp:lastModifiedBy>
  <cp:revision>2</cp:revision>
  <dcterms:created xsi:type="dcterms:W3CDTF">2024-04-12T15:59:00Z</dcterms:created>
  <dcterms:modified xsi:type="dcterms:W3CDTF">2024-04-12T15:59:00Z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0x010100C6AFC80723FFB74691645FEB38E21F6C</vt:lpwstr>
  </property>
  <property fmtid="{D5CDD505-2E9C-101B-9397-08002B2CF9AE}" pid="3" name="GrammarlyDocumentId">
    <vt:lpwstr>0a87821ba2af34e549db38b5a21a17a5d3874b8614afac54474ef54c25415d8e</vt:lpwstr>
  </property>
</Properties>
</file>