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4829" w14:textId="5AC811D3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HRP-325 | </w:t>
      </w:r>
      <w:r w:rsidR="006C3AAF">
        <w:rPr>
          <w:rFonts w:ascii="Arial" w:eastAsia="Arial" w:hAnsi="Arial" w:cs="Arial"/>
          <w:color w:val="000000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C3AAF"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1/202</w:t>
      </w:r>
      <w:r w:rsidR="006C3AAF">
        <w:rPr>
          <w:rFonts w:ascii="Arial" w:eastAsia="Arial" w:hAnsi="Arial" w:cs="Arial"/>
          <w:color w:val="000000"/>
          <w:sz w:val="24"/>
          <w:szCs w:val="24"/>
        </w:rPr>
        <w:t>4</w:t>
      </w:r>
    </w:p>
    <w:p w14:paraId="05BC217E" w14:textId="77777777" w:rsidR="009F559D" w:rsidRPr="004F45C8" w:rsidRDefault="009F559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1D5D9506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WORKSHEET: Compassionate Use of an Unapproved Medical Device</w:t>
      </w:r>
    </w:p>
    <w:p w14:paraId="2A2ACE23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purpose of this worksheet is to provide support for investigators conducting non-emergency individual patient/small group expanded access for an unapproved medical device (commonly known as Compassionate Use) and to provide support for </w:t>
      </w:r>
      <w:r>
        <w:rPr>
          <w:rFonts w:ascii="Arial" w:eastAsia="Arial" w:hAnsi="Arial" w:cs="Arial"/>
          <w:color w:val="000000"/>
          <w:u w:val="single"/>
        </w:rPr>
        <w:t>Designated Reviewers</w:t>
      </w:r>
      <w:r>
        <w:rPr>
          <w:rFonts w:ascii="Arial" w:eastAsia="Arial" w:hAnsi="Arial" w:cs="Arial"/>
          <w:color w:val="000000"/>
        </w:rPr>
        <w:t xml:space="preserve"> reviewing such uses. This worksheet is to be used when overseeing such uses. It does not need to be completed or retained. (</w:t>
      </w:r>
      <w:r>
        <w:rPr>
          <w:rFonts w:ascii="Arial" w:eastAsia="Arial" w:hAnsi="Arial" w:cs="Arial"/>
          <w:color w:val="000000"/>
          <w:u w:val="single"/>
        </w:rPr>
        <w:t>LAR</w:t>
      </w:r>
      <w:r>
        <w:rPr>
          <w:rFonts w:ascii="Arial" w:eastAsia="Arial" w:hAnsi="Arial" w:cs="Arial"/>
          <w:color w:val="000000"/>
        </w:rPr>
        <w:t xml:space="preserve"> = “subject’s </w:t>
      </w:r>
      <w:r>
        <w:rPr>
          <w:rFonts w:ascii="Arial" w:eastAsia="Arial" w:hAnsi="Arial" w:cs="Arial"/>
          <w:color w:val="000000"/>
          <w:u w:val="single"/>
        </w:rPr>
        <w:t>Legally Authorized Representative</w:t>
      </w:r>
      <w:r>
        <w:rPr>
          <w:rFonts w:ascii="Arial" w:eastAsia="Arial" w:hAnsi="Arial" w:cs="Arial"/>
          <w:color w:val="000000"/>
        </w:rPr>
        <w:t>”)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  <w:r>
        <w:rPr>
          <w:rFonts w:ascii="Arial" w:eastAsia="Arial" w:hAnsi="Arial" w:cs="Arial"/>
          <w:color w:val="000000"/>
        </w:rPr>
        <w:t xml:space="preserve"> </w:t>
      </w:r>
    </w:p>
    <w:p w14:paraId="4732EF14" w14:textId="77777777" w:rsidR="009F559D" w:rsidRDefault="00AD4F79">
      <w:pPr>
        <w:pBdr>
          <w:top w:val="single" w:sz="4" w:space="1" w:color="AEAAAA"/>
          <w:left w:val="single" w:sz="4" w:space="4" w:color="AEAAAA"/>
          <w:bottom w:val="single" w:sz="4" w:space="1" w:color="AEAAAA"/>
          <w:right w:val="single" w:sz="4" w:space="4" w:color="AEAAAA"/>
          <w:between w:val="nil"/>
        </w:pBdr>
        <w:shd w:val="clear" w:color="auto" w:fill="DFDFDF"/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Compassionate Use of an Unapproved Device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2"/>
      </w:r>
    </w:p>
    <w:p w14:paraId="080AAE5B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>Criteria for Compassionate Use of an Unapproved Device</w:t>
      </w:r>
      <w:r>
        <w:rPr>
          <w:rFonts w:ascii="Arial" w:eastAsia="Arial" w:hAnsi="Arial" w:cs="Arial"/>
          <w:color w:val="000000"/>
        </w:rPr>
        <w:t xml:space="preserve"> (Check if “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>.” All must be checked.)</w:t>
      </w:r>
    </w:p>
    <w:p w14:paraId="1CCF959A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0"/>
          <w:id w:val="-841855021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patient is confronted by a serious disease or condition.</w:t>
      </w:r>
    </w:p>
    <w:p w14:paraId="62AB05CB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"/>
          <w:id w:val="-1367291695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No generally acceptable alternative for treating, diagnosing, or monitoring the patient is (was) available.</w:t>
      </w:r>
    </w:p>
    <w:p w14:paraId="560A1636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2"/>
          <w:id w:val="1931236347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probable risk to the patient is not greater than the probable risk from the disease.</w:t>
      </w:r>
    </w:p>
    <w:p w14:paraId="5C02EACF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3"/>
          <w:id w:val="745067292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patient does not meet the inclusion criteria for an IDE study.</w:t>
      </w:r>
    </w:p>
    <w:p w14:paraId="76F6F531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4"/>
          <w:id w:val="1044408942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treating physician will document in the medical record that the above findings were met.</w:t>
      </w:r>
    </w:p>
    <w:p w14:paraId="7B294B83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The treating physician has/will obtain approval from FDA for the use.</w:t>
      </w:r>
    </w:p>
    <w:p w14:paraId="7A42E463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If an IDE exists for the device, the sponsor has authorized its use.</w:t>
      </w:r>
    </w:p>
    <w:p w14:paraId="73409748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5"/>
          <w:id w:val="1271044598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An independent assessment from an uninvolved physician will be included in the submission to FDA.</w:t>
      </w:r>
    </w:p>
    <w:p w14:paraId="0FF8A5F6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6"/>
          <w:id w:val="-656999942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All institutional clearances have been obtained.</w:t>
      </w:r>
    </w:p>
    <w:p w14:paraId="51038B22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7"/>
          <w:id w:val="1589958444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Concurrence of an IRB Chair has been (will be) obtained.</w:t>
      </w:r>
    </w:p>
    <w:p w14:paraId="0FFD7D1C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8"/>
          <w:id w:val="496857289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treating physician will report any problems as a result of the device use to the IRB and sponsor.</w:t>
      </w:r>
    </w:p>
    <w:p w14:paraId="0AB541EA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9"/>
          <w:id w:val="470718718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treating physician will provide follow-up information (if applicable) of the use and give it to the sponsor, the FDA and the IRB.</w:t>
      </w:r>
    </w:p>
    <w:p w14:paraId="66AE5DF6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864" w:hanging="288"/>
        <w:rPr>
          <w:rFonts w:ascii="Arial" w:eastAsia="Arial" w:hAnsi="Arial" w:cs="Arial"/>
          <w:color w:val="000000"/>
        </w:rPr>
      </w:pPr>
      <w:sdt>
        <w:sdtPr>
          <w:tag w:val="goog_rdk_10"/>
          <w:id w:val="-1649435139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The use is </w:t>
      </w:r>
      <w:r w:rsidR="00AD4F79">
        <w:rPr>
          <w:rFonts w:ascii="Arial" w:eastAsia="Arial" w:hAnsi="Arial" w:cs="Arial"/>
          <w:b/>
          <w:color w:val="000000"/>
        </w:rPr>
        <w:t>NOT</w:t>
      </w:r>
      <w:r w:rsidR="00AD4F79">
        <w:rPr>
          <w:rFonts w:ascii="Arial" w:eastAsia="Arial" w:hAnsi="Arial" w:cs="Arial"/>
          <w:color w:val="000000"/>
        </w:rPr>
        <w:t xml:space="preserve"> research subject to DHHS regulation See HRP-310 - WORKSHEET - Human Research Determination.</w:t>
      </w:r>
    </w:p>
    <w:p w14:paraId="4A5789CC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8" w:hanging="28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b/>
          <w:color w:val="000000"/>
        </w:rPr>
        <w:t>Consent criteria</w:t>
      </w:r>
      <w:r>
        <w:rPr>
          <w:rFonts w:ascii="Arial" w:eastAsia="Arial" w:hAnsi="Arial" w:cs="Arial"/>
          <w:color w:val="000000"/>
        </w:rPr>
        <w:t xml:space="preserve"> (Check if “</w:t>
      </w:r>
      <w:r>
        <w:rPr>
          <w:rFonts w:ascii="Arial" w:eastAsia="Arial" w:hAnsi="Arial" w:cs="Arial"/>
          <w:b/>
          <w:color w:val="000000"/>
        </w:rPr>
        <w:t>Yes</w:t>
      </w:r>
      <w:r>
        <w:rPr>
          <w:rFonts w:ascii="Arial" w:eastAsia="Arial" w:hAnsi="Arial" w:cs="Arial"/>
          <w:color w:val="000000"/>
        </w:rPr>
        <w:t>”. All must be checked)</w:t>
      </w:r>
    </w:p>
    <w:p w14:paraId="1B4E3260" w14:textId="77777777" w:rsidR="009F55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b/>
          <w:color w:val="000000"/>
        </w:rPr>
      </w:pPr>
      <w:sdt>
        <w:sdtPr>
          <w:tag w:val="goog_rdk_11"/>
          <w:id w:val="1617643088"/>
        </w:sdtPr>
        <w:sdtContent>
          <w:r w:rsidR="00AD4F7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AD4F79">
        <w:rPr>
          <w:rFonts w:ascii="Arial" w:eastAsia="Arial" w:hAnsi="Arial" w:cs="Arial"/>
          <w:color w:val="000000"/>
        </w:rPr>
        <w:t xml:space="preserve"> Informed consent will be sought from the patient or the patient’s LAR.</w:t>
      </w:r>
      <w:r w:rsidR="00AD4F79">
        <w:rPr>
          <w:rFonts w:ascii="Arial" w:eastAsia="Arial" w:hAnsi="Arial" w:cs="Arial"/>
          <w:color w:val="000000"/>
          <w:vertAlign w:val="superscript"/>
        </w:rPr>
        <w:footnoteReference w:id="3"/>
      </w:r>
    </w:p>
    <w:p w14:paraId="21EF497F" w14:textId="701B7650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64" w:hanging="288"/>
        <w:rPr>
          <w:rFonts w:ascii="Arial" w:eastAsia="Arial" w:hAnsi="Arial" w:cs="Arial"/>
          <w:color w:val="000000"/>
        </w:rPr>
        <w:sectPr w:rsidR="009F559D" w:rsidSect="00314D04">
          <w:headerReference w:type="default" r:id="rId8"/>
          <w:footerReference w:type="default" r:id="rId9"/>
          <w:pgSz w:w="12240" w:h="15840"/>
          <w:pgMar w:top="720" w:right="720" w:bottom="90" w:left="720" w:header="720" w:footer="720" w:gutter="0"/>
          <w:pgNumType w:start="1"/>
          <w:cols w:space="720"/>
        </w:sect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Informed consent will be documented using HRP-506 - TEMPLATE CONSENT DOCUMENT - </w:t>
      </w:r>
      <w:r w:rsidR="007B4DCC">
        <w:rPr>
          <w:rFonts w:ascii="Arial" w:eastAsia="Arial" w:hAnsi="Arial" w:cs="Arial"/>
          <w:color w:val="000000"/>
        </w:rPr>
        <w:t>Expanded Access</w:t>
      </w:r>
      <w:r>
        <w:rPr>
          <w:rFonts w:ascii="Arial" w:eastAsia="Arial" w:hAnsi="Arial" w:cs="Arial"/>
          <w:color w:val="000000"/>
        </w:rPr>
        <w:t>.</w:t>
      </w:r>
      <w:r w:rsidR="00ED0F64">
        <w:rPr>
          <w:rStyle w:val="FootnoteReference"/>
          <w:rFonts w:ascii="Arial" w:eastAsia="Arial" w:hAnsi="Arial" w:cs="Arial"/>
          <w:color w:val="000000"/>
        </w:rPr>
        <w:footnoteReference w:id="4"/>
      </w:r>
    </w:p>
    <w:p w14:paraId="73E33E96" w14:textId="77777777" w:rsidR="009F559D" w:rsidRDefault="009F559D" w:rsidP="004F45C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</w:rPr>
      </w:pPr>
    </w:p>
    <w:sectPr w:rsidR="009F559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F77" w14:textId="77777777" w:rsidR="00314D04" w:rsidRDefault="00314D04">
      <w:pPr>
        <w:spacing w:after="0" w:line="240" w:lineRule="auto"/>
      </w:pPr>
      <w:r>
        <w:separator/>
      </w:r>
    </w:p>
  </w:endnote>
  <w:endnote w:type="continuationSeparator" w:id="0">
    <w:p w14:paraId="4E0EE8C2" w14:textId="77777777" w:rsidR="00314D04" w:rsidRDefault="0031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ED0" w14:textId="77777777" w:rsidR="009F559D" w:rsidRDefault="00AD4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56B218E" w14:textId="77777777" w:rsidR="009F559D" w:rsidRDefault="009F5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BAAE" w14:textId="77777777" w:rsidR="00314D04" w:rsidRDefault="00314D04">
      <w:pPr>
        <w:spacing w:after="0" w:line="240" w:lineRule="auto"/>
      </w:pPr>
      <w:r>
        <w:separator/>
      </w:r>
    </w:p>
  </w:footnote>
  <w:footnote w:type="continuationSeparator" w:id="0">
    <w:p w14:paraId="32568702" w14:textId="77777777" w:rsidR="00314D04" w:rsidRDefault="00314D04">
      <w:pPr>
        <w:spacing w:after="0" w:line="240" w:lineRule="auto"/>
      </w:pPr>
      <w:r>
        <w:continuationSeparator/>
      </w:r>
    </w:p>
  </w:footnote>
  <w:footnote w:id="1">
    <w:p w14:paraId="16764C83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This document satisfies AAHRPP element I.7.C</w:t>
      </w:r>
    </w:p>
  </w:footnote>
  <w:footnote w:id="2">
    <w:p w14:paraId="5361F9E8" w14:textId="7A47A0D6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FDA does not consider the compassionate use of an unapproved device to be a clinical investigation and FDA does not require compliance with 21 CFR §50 and 21 CFR §56. The requirements are based on FDA guidance at </w:t>
      </w:r>
      <w:hyperlink r:id="rId1" w:history="1">
        <w:r w:rsidR="002F7161" w:rsidRPr="006C45A8">
          <w:rPr>
            <w:rStyle w:val="Hyperlink"/>
            <w:rFonts w:ascii="Arial" w:eastAsia="Arial" w:hAnsi="Arial" w:cs="Arial"/>
            <w:sz w:val="18"/>
            <w:szCs w:val="18"/>
          </w:rPr>
          <w:t>https://www.fda.gov/medical-devices/investigational-device-exemption-ide/expanded-access-medical-devices</w:t>
        </w:r>
      </w:hyperlink>
      <w:r w:rsidR="002F7161">
        <w:rPr>
          <w:rFonts w:ascii="Arial" w:eastAsia="Arial" w:hAnsi="Arial" w:cs="Arial"/>
          <w:color w:val="000000"/>
          <w:sz w:val="18"/>
          <w:szCs w:val="18"/>
        </w:rPr>
        <w:t>,</w:t>
      </w:r>
      <w:r w:rsidR="00F87C8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hyperlink r:id="rId2" w:anchor="compassionateuse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http://www.fda.gov/MedicalDevices/DeviceRegulationandGuidance/HowtoMarketYourDevice/InvestigationalDeviceExemptionIDE/ucm051345.htm#compassionateuse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, and </w:t>
      </w:r>
      <w:hyperlink r:id="rId3" w:history="1">
        <w:r w:rsidR="00F87C8D" w:rsidRPr="006C45A8">
          <w:rPr>
            <w:rStyle w:val="Hyperlink"/>
            <w:rFonts w:ascii="Arial" w:eastAsia="Arial" w:hAnsi="Arial" w:cs="Arial"/>
            <w:sz w:val="18"/>
            <w:szCs w:val="18"/>
          </w:rPr>
          <w:t>http://www.fda.gov/downloads/RegulatoryInformation/Guidances/UCM127067.pdf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.</w:t>
      </w:r>
    </w:p>
  </w:footnote>
  <w:footnote w:id="3">
    <w:p w14:paraId="70BD1B96" w14:textId="77777777" w:rsidR="009F559D" w:rsidRDefault="00AD4F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FDA does not require the consent process to follow the informed consent requirements at 21 CFR §50.</w:t>
      </w:r>
    </w:p>
  </w:footnote>
  <w:footnote w:id="4">
    <w:p w14:paraId="50CB1A93" w14:textId="421735B3" w:rsidR="00ED0F64" w:rsidRDefault="00ED0F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0F64">
        <w:rPr>
          <w:rFonts w:ascii="Arial" w:hAnsi="Arial" w:cs="Arial"/>
          <w:sz w:val="18"/>
          <w:szCs w:val="18"/>
        </w:rPr>
        <w:t>FDA does not require the documentation of consent to follow the informed consent requirements at 21 CFR §50.27.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E3BC" w14:textId="77777777" w:rsidR="009F559D" w:rsidRDefault="00AD4F79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0FBAC6A9" wp14:editId="4D29B4FE">
          <wp:extent cx="3257378" cy="402263"/>
          <wp:effectExtent l="0" t="0" r="635" b="0"/>
          <wp:docPr id="882956793" name="Picture 882956793" descr="Emblem with Virginia Commonwealth University and the Egyptian building.  VCU Research and Innovatio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956793" name="Picture 882956793" descr="Emblem with Virginia Commonwealth University and the Egyptian building.  VCU Research and Innovation.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378" cy="402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CD4DDB" w14:textId="77777777" w:rsidR="009F559D" w:rsidRDefault="009F55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9D"/>
    <w:rsid w:val="002F7161"/>
    <w:rsid w:val="00314D04"/>
    <w:rsid w:val="00347A52"/>
    <w:rsid w:val="00455F3F"/>
    <w:rsid w:val="004F45C8"/>
    <w:rsid w:val="006C3AAF"/>
    <w:rsid w:val="007B4DCC"/>
    <w:rsid w:val="00936B73"/>
    <w:rsid w:val="009F559D"/>
    <w:rsid w:val="00AD4F79"/>
    <w:rsid w:val="00BC2DCA"/>
    <w:rsid w:val="00D85B53"/>
    <w:rsid w:val="00ED0F64"/>
    <w:rsid w:val="00F16B10"/>
    <w:rsid w:val="00F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19FD"/>
  <w15:docId w15:val="{828F59F5-29EC-4A06-9A0A-985F292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4472C4" w:themeColor="accent1"/>
    </w:rPr>
  </w:style>
  <w:style w:type="paragraph" w:customStyle="1" w:styleId="DocumentTitle-HCG">
    <w:name w:val="Document Title - HCG"/>
    <w:basedOn w:val="Normal"/>
    <w:link w:val="DocumentTitle-HCGChar"/>
    <w:qFormat/>
    <w:pPr>
      <w:spacing w:line="240" w:lineRule="auto"/>
      <w:jc w:val="center"/>
    </w:pPr>
    <w:rPr>
      <w:rFonts w:ascii="Arial" w:hAnsi="Arial" w:cs="Arial"/>
      <w:b/>
      <w:sz w:val="32"/>
      <w:szCs w:val="36"/>
    </w:rPr>
  </w:style>
  <w:style w:type="paragraph" w:customStyle="1" w:styleId="SectionHeading-HCG">
    <w:name w:val="Section Heading - HCG"/>
    <w:basedOn w:val="DocumentTitle-HCG"/>
    <w:link w:val="SectionHeading-HCGChar"/>
    <w:qFormat/>
    <w:pPr>
      <w:pBdr>
        <w:top w:val="single" w:sz="4" w:space="1" w:color="AEAAAA" w:themeColor="background2" w:themeShade="BF"/>
        <w:left w:val="single" w:sz="4" w:space="4" w:color="AEAAAA" w:themeColor="background2" w:themeShade="BF"/>
        <w:bottom w:val="single" w:sz="4" w:space="1" w:color="AEAAAA" w:themeColor="background2" w:themeShade="BF"/>
        <w:right w:val="single" w:sz="4" w:space="4" w:color="AEAAAA" w:themeColor="background2" w:themeShade="BF"/>
      </w:pBdr>
      <w:shd w:val="pct12" w:color="auto" w:fill="auto"/>
      <w:jc w:val="left"/>
    </w:pPr>
    <w:rPr>
      <w:bCs/>
      <w:sz w:val="24"/>
      <w:szCs w:val="24"/>
    </w:rPr>
  </w:style>
  <w:style w:type="character" w:customStyle="1" w:styleId="DocumentTitle-HCGChar">
    <w:name w:val="Document Title - HCG Char"/>
    <w:basedOn w:val="DefaultParagraphFont"/>
    <w:link w:val="DocumentTitle-HCG"/>
    <w:rPr>
      <w:rFonts w:ascii="Arial" w:hAnsi="Arial" w:cs="Arial"/>
      <w:b/>
      <w:sz w:val="32"/>
      <w:szCs w:val="36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customStyle="1" w:styleId="SectionHeading-HCGChar">
    <w:name w:val="Section Heading - HCG Char"/>
    <w:basedOn w:val="DocumentTitle-HCGChar"/>
    <w:link w:val="SectionHeading-HCG"/>
    <w:rPr>
      <w:rFonts w:ascii="Arial" w:hAnsi="Arial" w:cs="Arial"/>
      <w:b/>
      <w:bCs/>
      <w:sz w:val="24"/>
      <w:szCs w:val="24"/>
      <w:shd w:val="pct12" w:color="auto" w:fill="auto"/>
    </w:rPr>
  </w:style>
  <w:style w:type="paragraph" w:customStyle="1" w:styleId="PrimarySectionTextHangingCheckboxes-HCG">
    <w:name w:val="Primary Section Text (Hanging/Checkboxes) - HCG"/>
    <w:basedOn w:val="Normal"/>
    <w:link w:val="PrimarySectionTextHangingCheckboxes-HCGChar"/>
    <w:qFormat/>
    <w:pPr>
      <w:spacing w:after="120" w:line="276" w:lineRule="auto"/>
      <w:ind w:left="288" w:hanging="288"/>
    </w:pPr>
    <w:rPr>
      <w:rFonts w:ascii="Arial" w:hAnsi="Arial"/>
    </w:rPr>
  </w:style>
  <w:style w:type="paragraph" w:customStyle="1" w:styleId="Sub-SectionText-HCG">
    <w:name w:val="Sub-Section Text - HCG"/>
    <w:basedOn w:val="Normal"/>
    <w:link w:val="Sub-SectionText-HCGChar"/>
    <w:qFormat/>
    <w:pPr>
      <w:spacing w:after="120" w:line="324" w:lineRule="auto"/>
      <w:ind w:left="864" w:hanging="288"/>
      <w:contextualSpacing/>
    </w:pPr>
    <w:rPr>
      <w:rFonts w:ascii="Arial" w:hAnsi="Arial"/>
    </w:rPr>
  </w:style>
  <w:style w:type="paragraph" w:customStyle="1" w:styleId="SecondarySub-SectionText-HCG">
    <w:name w:val="Secondary Sub-Section Text - HCG"/>
    <w:basedOn w:val="Normal"/>
    <w:link w:val="SecondarySub-SectionText-HCGChar"/>
    <w:qFormat/>
    <w:pPr>
      <w:spacing w:after="120" w:line="324" w:lineRule="auto"/>
      <w:ind w:left="1728" w:hanging="288"/>
      <w:contextualSpacing/>
    </w:pPr>
    <w:rPr>
      <w:rFonts w:ascii="Arial" w:hAnsi="Arial"/>
    </w:rPr>
  </w:style>
  <w:style w:type="character" w:customStyle="1" w:styleId="Sub-SectionText-HCGChar">
    <w:name w:val="Sub-Section Text - HCG Char"/>
    <w:basedOn w:val="DefaultParagraphFont"/>
    <w:link w:val="Sub-SectionText-HCG"/>
    <w:rPr>
      <w:rFonts w:ascii="Arial" w:hAnsi="Arial"/>
    </w:rPr>
  </w:style>
  <w:style w:type="character" w:customStyle="1" w:styleId="SecondarySub-SectionText-HCGChar">
    <w:name w:val="Secondary Sub-Section Text - HCG Char"/>
    <w:basedOn w:val="DefaultParagraphFont"/>
    <w:link w:val="SecondarySub-SectionText-HCG"/>
    <w:rPr>
      <w:rFonts w:ascii="Arial" w:hAnsi="Arial"/>
    </w:rPr>
  </w:style>
  <w:style w:type="table" w:customStyle="1" w:styleId="GrayBandedRowTable-HCG">
    <w:name w:val="Gray Banded Row Table - HCG"/>
    <w:basedOn w:val="TableNormal"/>
    <w:uiPriority w:val="99"/>
    <w:pPr>
      <w:spacing w:after="0" w:line="240" w:lineRule="auto"/>
    </w:pPr>
    <w:rPr>
      <w:rFonts w:ascii="Arial" w:hAnsi="Arial"/>
      <w:sz w:val="24"/>
    </w:r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rPr>
        <w:rFonts w:ascii="Arial" w:hAnsi="Arial"/>
        <w:b/>
        <w:sz w:val="24"/>
      </w:rPr>
    </w:tblStylePr>
    <w:tblStylePr w:type="band2Horz"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BFBFBF" w:themeFill="background1" w:themeFillShade="BF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SectionInstructions-HCG">
    <w:name w:val="Section Instructions - HCG"/>
    <w:basedOn w:val="Sub-SectionText-HCG"/>
    <w:link w:val="SectionInstructions-HCG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288"/>
    </w:pPr>
  </w:style>
  <w:style w:type="character" w:customStyle="1" w:styleId="SectionInstructions-HCGChar">
    <w:name w:val="Section Instructions - HCG Char"/>
    <w:basedOn w:val="Sub-SectionText-HCGChar"/>
    <w:link w:val="SectionInstructions-HCG"/>
    <w:rPr>
      <w:rFonts w:ascii="Arial" w:hAnsi="Arial"/>
      <w:shd w:val="pct12" w:color="auto" w:fill="auto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PrimarySectionTextNoHangingIndent-HCG">
    <w:name w:val="Primary Section Text No Hanging Indent - HCG"/>
    <w:basedOn w:val="PrimarySectionTextHangingCheckboxes-HCG"/>
    <w:link w:val="PrimarySectionTextNoHangingIndent-HCGChar"/>
    <w:qFormat/>
    <w:pPr>
      <w:ind w:left="0" w:firstLine="0"/>
    </w:pPr>
  </w:style>
  <w:style w:type="character" w:customStyle="1" w:styleId="PrimarySectionTextHangingCheckboxes-HCGChar">
    <w:name w:val="Primary Section Text (Hanging/Checkboxes) - HCG Char"/>
    <w:basedOn w:val="DefaultParagraphFont"/>
    <w:link w:val="PrimarySectionTextHangingCheckboxes-HCG"/>
    <w:rPr>
      <w:rFonts w:ascii="Arial" w:hAnsi="Arial"/>
    </w:rPr>
  </w:style>
  <w:style w:type="character" w:customStyle="1" w:styleId="PrimarySectionTextNoHangingIndent-HCGChar">
    <w:name w:val="Primary Section Text No Hanging Indent - HCG Char"/>
    <w:basedOn w:val="PrimarySectionTextHangingCheckboxes-HCGChar"/>
    <w:link w:val="PrimarySectionTextNoHangingIndent-HCG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18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SOPFooter">
    <w:name w:val="SOP Footer"/>
    <w:basedOn w:val="Normal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6C3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da.gov/downloads/RegulatoryInformation/Guidances/UCM127067.pdf" TargetMode="External"/><Relationship Id="rId2" Type="http://schemas.openxmlformats.org/officeDocument/2006/relationships/hyperlink" Target="http://www.fda.gov/MedicalDevices/DeviceRegulationandGuidance/HowtoMarketYourDevice/InvestigationalDeviceExemptionIDE/ucm051345.htm" TargetMode="External"/><Relationship Id="rId1" Type="http://schemas.openxmlformats.org/officeDocument/2006/relationships/hyperlink" Target="https://www.fda.gov/medical-devices/investigational-device-exemption-ide/expanded-access-medical-de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E3yH34TG/bNd+VBb9jHR4q2dP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gAaicKFHN1Z2dlc3QuY3FlcHNwc3J3YXd2Eg9NYWRlbGVuYSBFaWZlcnRyITF3QlZMeHR0dU10LXliemE0UXJzeDlFSG5OTGJmRmJkN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D839C4-301B-40CE-8C8A-FA5634B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>Huron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Isley</dc:creator>
  <cp:lastModifiedBy>jenny rice</cp:lastModifiedBy>
  <cp:revision>2</cp:revision>
  <dcterms:created xsi:type="dcterms:W3CDTF">2024-04-08T16:26:00Z</dcterms:created>
  <dcterms:modified xsi:type="dcterms:W3CDTF">2024-04-08T16:26:00Z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0x010100C6AFC80723FFB74691645FEB38E21F6C</vt:lpwstr>
  </property>
  <property fmtid="{D5CDD505-2E9C-101B-9397-08002B2CF9AE}" pid="3" name="MediaServiceImageTags">
    <vt:lpwstr/>
  </property>
</Properties>
</file>