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8710" w14:textId="2AF54424" w:rsidR="00B73AE1" w:rsidRDefault="00FD112B" w:rsidP="00B96356">
      <w:pPr>
        <w:rPr>
          <w:rFonts w:ascii="Arial" w:hAnsi="Arial" w:cs="Arial"/>
          <w:sz w:val="22"/>
          <w:szCs w:val="22"/>
        </w:rPr>
      </w:pPr>
      <w:r w:rsidRPr="00C50224">
        <w:rPr>
          <w:rFonts w:ascii="Arial" w:hAnsi="Arial" w:cs="Arial"/>
          <w:sz w:val="22"/>
          <w:szCs w:val="22"/>
        </w:rPr>
        <w:t xml:space="preserve">Training in the Responsible Conduct of Research (RCR).    </w:t>
      </w:r>
      <w:r w:rsidR="00F02D0B">
        <w:rPr>
          <w:rFonts w:ascii="Arial" w:hAnsi="Arial" w:cs="Arial"/>
          <w:sz w:val="22"/>
          <w:szCs w:val="22"/>
        </w:rPr>
        <w:t xml:space="preserve">                                        V. </w:t>
      </w:r>
      <w:r w:rsidR="009C1E6C">
        <w:rPr>
          <w:rFonts w:ascii="Arial" w:hAnsi="Arial" w:cs="Arial"/>
          <w:sz w:val="22"/>
          <w:szCs w:val="22"/>
        </w:rPr>
        <w:t>8.2023</w:t>
      </w:r>
    </w:p>
    <w:p w14:paraId="4C041B8D" w14:textId="54A1C8DD" w:rsidR="00F02D0B" w:rsidRDefault="00F02D0B" w:rsidP="00B96356">
      <w:pPr>
        <w:rPr>
          <w:rFonts w:ascii="Arial" w:hAnsi="Arial" w:cs="Arial"/>
          <w:sz w:val="22"/>
          <w:szCs w:val="22"/>
        </w:rPr>
      </w:pPr>
    </w:p>
    <w:p w14:paraId="5DA39B8D" w14:textId="5CFD332D" w:rsidR="00F02D0B" w:rsidRPr="00F02D0B" w:rsidRDefault="00F02D0B" w:rsidP="00F02D0B">
      <w:pPr>
        <w:jc w:val="center"/>
        <w:rPr>
          <w:rFonts w:ascii="Arial" w:hAnsi="Arial" w:cs="Arial"/>
          <w:i/>
          <w:sz w:val="22"/>
          <w:szCs w:val="22"/>
        </w:rPr>
      </w:pPr>
      <w:r w:rsidRPr="00F02D0B">
        <w:rPr>
          <w:rFonts w:ascii="Arial" w:hAnsi="Arial" w:cs="Arial"/>
          <w:i/>
          <w:sz w:val="22"/>
          <w:szCs w:val="22"/>
        </w:rPr>
        <w:t>All or part of this content can be used or modified to suit your grant purpose.</w:t>
      </w:r>
    </w:p>
    <w:p w14:paraId="4BD95D02" w14:textId="77777777" w:rsidR="00FD112B" w:rsidRPr="00C50224" w:rsidRDefault="00FD112B" w:rsidP="00FD112B">
      <w:pPr>
        <w:ind w:left="180"/>
        <w:rPr>
          <w:rFonts w:ascii="Arial" w:hAnsi="Arial" w:cs="Arial"/>
          <w:sz w:val="22"/>
          <w:szCs w:val="22"/>
        </w:rPr>
      </w:pPr>
    </w:p>
    <w:p w14:paraId="6CD1FAA7" w14:textId="08C68680" w:rsidR="00AA3A59" w:rsidRDefault="0029362F" w:rsidP="0029362F">
      <w:pPr>
        <w:rPr>
          <w:rFonts w:ascii="Arial" w:hAnsi="Arial" w:cs="Arial"/>
          <w:sz w:val="22"/>
          <w:szCs w:val="22"/>
        </w:rPr>
      </w:pPr>
      <w:r>
        <w:rPr>
          <w:rFonts w:ascii="Arial" w:hAnsi="Arial" w:cs="Arial"/>
          <w:i/>
          <w:sz w:val="22"/>
          <w:szCs w:val="22"/>
        </w:rPr>
        <w:t xml:space="preserve">Course Availability.  </w:t>
      </w:r>
      <w:r w:rsidR="006D57D3">
        <w:rPr>
          <w:rFonts w:ascii="Arial" w:hAnsi="Arial" w:cs="Arial"/>
          <w:sz w:val="22"/>
          <w:szCs w:val="22"/>
        </w:rPr>
        <w:t xml:space="preserve">__________ </w:t>
      </w:r>
      <w:r w:rsidR="006A6091">
        <w:rPr>
          <w:rFonts w:ascii="Arial" w:hAnsi="Arial" w:cs="Arial"/>
          <w:sz w:val="22"/>
          <w:szCs w:val="22"/>
        </w:rPr>
        <w:t>scholars</w:t>
      </w:r>
      <w:r w:rsidR="00F8680E">
        <w:rPr>
          <w:rFonts w:ascii="Arial" w:hAnsi="Arial" w:cs="Arial"/>
          <w:sz w:val="22"/>
          <w:szCs w:val="22"/>
        </w:rPr>
        <w:t xml:space="preserve"> </w:t>
      </w:r>
      <w:r>
        <w:rPr>
          <w:rFonts w:ascii="Arial" w:hAnsi="Arial" w:cs="Arial"/>
          <w:sz w:val="22"/>
          <w:szCs w:val="22"/>
        </w:rPr>
        <w:t>will meet t</w:t>
      </w:r>
      <w:r w:rsidR="00FD112B" w:rsidRPr="00C50224">
        <w:rPr>
          <w:rFonts w:ascii="Arial" w:hAnsi="Arial" w:cs="Arial"/>
          <w:sz w:val="22"/>
          <w:szCs w:val="22"/>
        </w:rPr>
        <w:t xml:space="preserve">he RCR training requirement by successful completion of </w:t>
      </w:r>
      <w:r w:rsidR="006A6091">
        <w:rPr>
          <w:rFonts w:ascii="Arial" w:hAnsi="Arial" w:cs="Arial"/>
          <w:sz w:val="22"/>
          <w:szCs w:val="22"/>
        </w:rPr>
        <w:t>a graduate level</w:t>
      </w:r>
      <w:r w:rsidR="00D7348A">
        <w:rPr>
          <w:rFonts w:ascii="Arial" w:hAnsi="Arial" w:cs="Arial"/>
          <w:sz w:val="22"/>
          <w:szCs w:val="22"/>
        </w:rPr>
        <w:t xml:space="preserve"> responsible conduct of research</w:t>
      </w:r>
      <w:r w:rsidR="00AA3A59">
        <w:rPr>
          <w:rFonts w:ascii="Arial" w:hAnsi="Arial" w:cs="Arial"/>
          <w:sz w:val="22"/>
          <w:szCs w:val="22"/>
        </w:rPr>
        <w:t xml:space="preserve"> </w:t>
      </w:r>
      <w:r w:rsidR="00D7348A">
        <w:rPr>
          <w:rFonts w:ascii="Arial" w:hAnsi="Arial" w:cs="Arial"/>
          <w:sz w:val="22"/>
          <w:szCs w:val="22"/>
        </w:rPr>
        <w:t xml:space="preserve">course offered by </w:t>
      </w:r>
      <w:r w:rsidR="005D2919">
        <w:rPr>
          <w:rFonts w:ascii="Arial" w:hAnsi="Arial" w:cs="Arial"/>
          <w:sz w:val="22"/>
          <w:szCs w:val="22"/>
        </w:rPr>
        <w:t xml:space="preserve">the </w:t>
      </w:r>
      <w:r w:rsidR="00D7348A">
        <w:rPr>
          <w:rFonts w:ascii="Arial" w:hAnsi="Arial" w:cs="Arial"/>
          <w:sz w:val="22"/>
          <w:szCs w:val="22"/>
        </w:rPr>
        <w:t xml:space="preserve">VCU </w:t>
      </w:r>
      <w:r w:rsidR="00451696">
        <w:rPr>
          <w:rFonts w:ascii="Arial" w:hAnsi="Arial" w:cs="Arial"/>
          <w:sz w:val="22"/>
          <w:szCs w:val="22"/>
        </w:rPr>
        <w:t xml:space="preserve">Office of Research and Innovation.  There are </w:t>
      </w:r>
      <w:r w:rsidR="006D57D3">
        <w:rPr>
          <w:rFonts w:ascii="Arial" w:hAnsi="Arial" w:cs="Arial"/>
          <w:sz w:val="22"/>
          <w:szCs w:val="22"/>
        </w:rPr>
        <w:t>4</w:t>
      </w:r>
      <w:r w:rsidR="00451696">
        <w:rPr>
          <w:rFonts w:ascii="Arial" w:hAnsi="Arial" w:cs="Arial"/>
          <w:sz w:val="22"/>
          <w:szCs w:val="22"/>
        </w:rPr>
        <w:t xml:space="preserve"> equivalent RCR courses taught </w:t>
      </w:r>
      <w:r w:rsidR="005E2294">
        <w:rPr>
          <w:rFonts w:ascii="Arial" w:hAnsi="Arial" w:cs="Arial"/>
          <w:sz w:val="22"/>
          <w:szCs w:val="22"/>
        </w:rPr>
        <w:t xml:space="preserve">by the Office of Research and Innovation </w:t>
      </w:r>
      <w:r w:rsidR="00451696">
        <w:rPr>
          <w:rFonts w:ascii="Arial" w:hAnsi="Arial" w:cs="Arial"/>
          <w:sz w:val="22"/>
          <w:szCs w:val="22"/>
        </w:rPr>
        <w:t xml:space="preserve">each year:  </w:t>
      </w:r>
      <w:r w:rsidR="006D57D3">
        <w:rPr>
          <w:rFonts w:ascii="Arial" w:hAnsi="Arial" w:cs="Arial"/>
          <w:sz w:val="22"/>
          <w:szCs w:val="22"/>
        </w:rPr>
        <w:t xml:space="preserve">two </w:t>
      </w:r>
      <w:r w:rsidR="00451696">
        <w:rPr>
          <w:rFonts w:ascii="Arial" w:hAnsi="Arial" w:cs="Arial"/>
          <w:sz w:val="22"/>
          <w:szCs w:val="22"/>
        </w:rPr>
        <w:t>in the fall semester</w:t>
      </w:r>
      <w:r w:rsidR="00BE62B2">
        <w:rPr>
          <w:rFonts w:ascii="Arial" w:hAnsi="Arial" w:cs="Arial"/>
          <w:sz w:val="22"/>
          <w:szCs w:val="22"/>
        </w:rPr>
        <w:t xml:space="preserve"> (OVPR601 and 603)</w:t>
      </w:r>
      <w:r w:rsidR="00451696">
        <w:rPr>
          <w:rFonts w:ascii="Arial" w:hAnsi="Arial" w:cs="Arial"/>
          <w:sz w:val="22"/>
          <w:szCs w:val="22"/>
        </w:rPr>
        <w:t xml:space="preserve">, </w:t>
      </w:r>
      <w:r w:rsidR="006D0E29">
        <w:rPr>
          <w:rFonts w:ascii="Arial" w:hAnsi="Arial" w:cs="Arial"/>
          <w:sz w:val="22"/>
          <w:szCs w:val="22"/>
        </w:rPr>
        <w:t xml:space="preserve">and </w:t>
      </w:r>
      <w:r w:rsidR="00451696">
        <w:rPr>
          <w:rFonts w:ascii="Arial" w:hAnsi="Arial" w:cs="Arial"/>
          <w:sz w:val="22"/>
          <w:szCs w:val="22"/>
        </w:rPr>
        <w:t xml:space="preserve">one </w:t>
      </w:r>
      <w:r w:rsidR="00F02D0B">
        <w:rPr>
          <w:rFonts w:ascii="Arial" w:hAnsi="Arial" w:cs="Arial"/>
          <w:sz w:val="22"/>
          <w:szCs w:val="22"/>
        </w:rPr>
        <w:t xml:space="preserve">each </w:t>
      </w:r>
      <w:r w:rsidR="00451696">
        <w:rPr>
          <w:rFonts w:ascii="Arial" w:hAnsi="Arial" w:cs="Arial"/>
          <w:sz w:val="22"/>
          <w:szCs w:val="22"/>
        </w:rPr>
        <w:t>in spring</w:t>
      </w:r>
      <w:r w:rsidR="00BE62B2">
        <w:rPr>
          <w:rFonts w:ascii="Arial" w:hAnsi="Arial" w:cs="Arial"/>
          <w:sz w:val="22"/>
          <w:szCs w:val="22"/>
        </w:rPr>
        <w:t xml:space="preserve"> </w:t>
      </w:r>
      <w:r w:rsidR="006D0E29">
        <w:rPr>
          <w:rFonts w:ascii="Arial" w:hAnsi="Arial" w:cs="Arial"/>
          <w:sz w:val="22"/>
          <w:szCs w:val="22"/>
        </w:rPr>
        <w:t xml:space="preserve">and summer sessions </w:t>
      </w:r>
      <w:r w:rsidR="00BE62B2">
        <w:rPr>
          <w:rFonts w:ascii="Arial" w:hAnsi="Arial" w:cs="Arial"/>
          <w:sz w:val="22"/>
          <w:szCs w:val="22"/>
        </w:rPr>
        <w:t>(OVPR602)</w:t>
      </w:r>
      <w:r w:rsidR="00451696">
        <w:rPr>
          <w:rFonts w:ascii="Arial" w:hAnsi="Arial" w:cs="Arial"/>
          <w:sz w:val="22"/>
          <w:szCs w:val="22"/>
        </w:rPr>
        <w:t xml:space="preserve">. </w:t>
      </w:r>
      <w:r w:rsidR="00065546">
        <w:rPr>
          <w:rFonts w:ascii="Arial" w:hAnsi="Arial" w:cs="Arial"/>
          <w:sz w:val="22"/>
          <w:szCs w:val="22"/>
        </w:rPr>
        <w:t xml:space="preserve"> </w:t>
      </w:r>
      <w:r w:rsidR="005E2294">
        <w:rPr>
          <w:rFonts w:ascii="Arial" w:hAnsi="Arial" w:cs="Arial"/>
          <w:sz w:val="22"/>
          <w:szCs w:val="22"/>
        </w:rPr>
        <w:t>In addition, students may enroll in one of several programmatically-based courses (i.e. Biology, Nursing</w:t>
      </w:r>
      <w:r w:rsidR="00514C19">
        <w:rPr>
          <w:rFonts w:ascii="Arial" w:hAnsi="Arial" w:cs="Arial"/>
          <w:sz w:val="22"/>
          <w:szCs w:val="22"/>
        </w:rPr>
        <w:t>, Chemistry</w:t>
      </w:r>
      <w:r w:rsidR="005E2294">
        <w:rPr>
          <w:rFonts w:ascii="Arial" w:hAnsi="Arial" w:cs="Arial"/>
          <w:sz w:val="22"/>
          <w:szCs w:val="22"/>
        </w:rPr>
        <w:t xml:space="preserve">) that offer RCR content similar to the Office of Research and Innovation course.   </w:t>
      </w:r>
      <w:r w:rsidR="00652024">
        <w:rPr>
          <w:rFonts w:ascii="Arial" w:hAnsi="Arial" w:cs="Arial"/>
          <w:sz w:val="22"/>
          <w:szCs w:val="22"/>
        </w:rPr>
        <w:t>T</w:t>
      </w:r>
      <w:r w:rsidR="00065546">
        <w:rPr>
          <w:rFonts w:ascii="Arial" w:hAnsi="Arial" w:cs="Arial"/>
          <w:sz w:val="22"/>
          <w:szCs w:val="22"/>
        </w:rPr>
        <w:t xml:space="preserve">hese offerings make RCR instruction available year-round </w:t>
      </w:r>
      <w:r w:rsidR="00451696">
        <w:rPr>
          <w:rFonts w:ascii="Arial" w:hAnsi="Arial" w:cs="Arial"/>
          <w:sz w:val="22"/>
          <w:szCs w:val="22"/>
        </w:rPr>
        <w:t xml:space="preserve">for our </w:t>
      </w:r>
      <w:r w:rsidR="006D57D3">
        <w:rPr>
          <w:rFonts w:ascii="Arial" w:hAnsi="Arial" w:cs="Arial"/>
          <w:sz w:val="22"/>
          <w:szCs w:val="22"/>
        </w:rPr>
        <w:t>______</w:t>
      </w:r>
      <w:r w:rsidR="00451696">
        <w:rPr>
          <w:rFonts w:ascii="Arial" w:hAnsi="Arial" w:cs="Arial"/>
          <w:sz w:val="22"/>
          <w:szCs w:val="22"/>
        </w:rPr>
        <w:t xml:space="preserve"> scholars</w:t>
      </w:r>
      <w:r w:rsidR="00BE62B2">
        <w:rPr>
          <w:rFonts w:ascii="Arial" w:hAnsi="Arial" w:cs="Arial"/>
          <w:sz w:val="22"/>
          <w:szCs w:val="22"/>
        </w:rPr>
        <w:t xml:space="preserve">.  </w:t>
      </w:r>
      <w:r w:rsidR="00514C19">
        <w:rPr>
          <w:rFonts w:ascii="Arial" w:hAnsi="Arial" w:cs="Arial"/>
          <w:sz w:val="22"/>
          <w:szCs w:val="22"/>
        </w:rPr>
        <w:t>Faculty involved in program-based RCR courses are developing a</w:t>
      </w:r>
      <w:r w:rsidR="00BE62B2">
        <w:rPr>
          <w:rFonts w:ascii="Arial" w:hAnsi="Arial" w:cs="Arial"/>
          <w:sz w:val="22"/>
          <w:szCs w:val="22"/>
        </w:rPr>
        <w:t xml:space="preserve"> VCU-wide RCR training initiative for faculty and staff that will </w:t>
      </w:r>
      <w:r w:rsidR="006D0E29">
        <w:rPr>
          <w:rFonts w:ascii="Arial" w:hAnsi="Arial" w:cs="Arial"/>
          <w:sz w:val="22"/>
          <w:szCs w:val="22"/>
        </w:rPr>
        <w:t xml:space="preserve">eventually </w:t>
      </w:r>
      <w:r w:rsidR="00BE62B2">
        <w:rPr>
          <w:rFonts w:ascii="Arial" w:hAnsi="Arial" w:cs="Arial"/>
          <w:sz w:val="22"/>
          <w:szCs w:val="22"/>
        </w:rPr>
        <w:t xml:space="preserve">complement </w:t>
      </w:r>
      <w:r w:rsidR="006D0E29">
        <w:rPr>
          <w:rFonts w:ascii="Arial" w:hAnsi="Arial" w:cs="Arial"/>
          <w:sz w:val="22"/>
          <w:szCs w:val="22"/>
        </w:rPr>
        <w:t xml:space="preserve">current </w:t>
      </w:r>
      <w:r w:rsidR="00BE62B2">
        <w:rPr>
          <w:rFonts w:ascii="Arial" w:hAnsi="Arial" w:cs="Arial"/>
          <w:sz w:val="22"/>
          <w:szCs w:val="22"/>
        </w:rPr>
        <w:t>course instruction for graduate students and trainees.</w:t>
      </w:r>
    </w:p>
    <w:p w14:paraId="4E89CC35" w14:textId="77777777" w:rsidR="00A92235" w:rsidRPr="00C50224" w:rsidRDefault="00A92235" w:rsidP="0029362F">
      <w:pPr>
        <w:rPr>
          <w:rFonts w:ascii="Arial" w:hAnsi="Arial" w:cs="Arial"/>
          <w:sz w:val="22"/>
          <w:szCs w:val="22"/>
        </w:rPr>
      </w:pPr>
    </w:p>
    <w:p w14:paraId="7AB509E0" w14:textId="432287E2" w:rsidR="00BE62B2" w:rsidRPr="00ED5C5C" w:rsidRDefault="007204DF" w:rsidP="00BE62B2">
      <w:pPr>
        <w:rPr>
          <w:rStyle w:val="SubtleEmphasis"/>
          <w:rFonts w:ascii="Arial" w:hAnsi="Arial" w:cs="Arial"/>
          <w:i w:val="0"/>
          <w:iCs w:val="0"/>
          <w:color w:val="auto"/>
          <w:sz w:val="22"/>
          <w:szCs w:val="22"/>
        </w:rPr>
      </w:pPr>
      <w:r>
        <w:rPr>
          <w:rFonts w:ascii="Arial" w:hAnsi="Arial" w:cs="Arial"/>
          <w:i/>
          <w:sz w:val="22"/>
          <w:szCs w:val="22"/>
        </w:rPr>
        <w:t xml:space="preserve">Course Format: </w:t>
      </w:r>
      <w:r w:rsidR="00FD112B" w:rsidRPr="00FF6192">
        <w:rPr>
          <w:rFonts w:ascii="Arial" w:hAnsi="Arial" w:cs="Arial"/>
          <w:sz w:val="22"/>
          <w:szCs w:val="22"/>
        </w:rPr>
        <w:t xml:space="preserve">The </w:t>
      </w:r>
      <w:r w:rsidR="005E2294">
        <w:rPr>
          <w:rFonts w:ascii="Arial" w:hAnsi="Arial" w:cs="Arial"/>
          <w:sz w:val="22"/>
          <w:szCs w:val="22"/>
        </w:rPr>
        <w:t xml:space="preserve">Office of Research and Innovation </w:t>
      </w:r>
      <w:r w:rsidR="00FD112B" w:rsidRPr="00FF6192">
        <w:rPr>
          <w:rFonts w:ascii="Arial" w:hAnsi="Arial" w:cs="Arial"/>
          <w:sz w:val="22"/>
          <w:szCs w:val="22"/>
        </w:rPr>
        <w:t>course</w:t>
      </w:r>
      <w:r w:rsidR="00D7348A">
        <w:rPr>
          <w:rFonts w:ascii="Arial" w:hAnsi="Arial" w:cs="Arial"/>
          <w:sz w:val="22"/>
          <w:szCs w:val="22"/>
        </w:rPr>
        <w:t>s are taught with a combination of in-class sessions and online reading</w:t>
      </w:r>
      <w:r w:rsidR="00FC2D10">
        <w:rPr>
          <w:rFonts w:ascii="Arial" w:hAnsi="Arial" w:cs="Arial"/>
          <w:sz w:val="22"/>
          <w:szCs w:val="22"/>
        </w:rPr>
        <w:t>.</w:t>
      </w:r>
      <w:r w:rsidR="00612EE8" w:rsidRPr="00FF6192">
        <w:rPr>
          <w:rFonts w:ascii="Arial" w:hAnsi="Arial" w:cs="Arial"/>
          <w:sz w:val="22"/>
          <w:szCs w:val="22"/>
        </w:rPr>
        <w:t xml:space="preserve"> </w:t>
      </w:r>
      <w:r w:rsidR="00C50224" w:rsidRPr="00FF6192">
        <w:rPr>
          <w:rFonts w:ascii="Arial" w:hAnsi="Arial" w:cs="Arial"/>
          <w:sz w:val="22"/>
          <w:szCs w:val="22"/>
        </w:rPr>
        <w:t>Classroom session</w:t>
      </w:r>
      <w:r w:rsidR="00B15EBE" w:rsidRPr="00FF6192">
        <w:rPr>
          <w:rFonts w:ascii="Arial" w:hAnsi="Arial" w:cs="Arial"/>
          <w:sz w:val="22"/>
          <w:szCs w:val="22"/>
        </w:rPr>
        <w:t>s</w:t>
      </w:r>
      <w:r w:rsidR="00EC2C06" w:rsidRPr="00FF6192">
        <w:rPr>
          <w:rFonts w:ascii="Arial" w:hAnsi="Arial" w:cs="Arial"/>
          <w:sz w:val="22"/>
          <w:szCs w:val="22"/>
        </w:rPr>
        <w:t xml:space="preserve"> are comprised of </w:t>
      </w:r>
      <w:r w:rsidR="00B440EE">
        <w:rPr>
          <w:rFonts w:ascii="Arial" w:hAnsi="Arial" w:cs="Arial"/>
          <w:sz w:val="22"/>
          <w:szCs w:val="22"/>
        </w:rPr>
        <w:t xml:space="preserve">interactive </w:t>
      </w:r>
      <w:r w:rsidR="005345A7" w:rsidRPr="00FF6192">
        <w:rPr>
          <w:rFonts w:ascii="Arial" w:hAnsi="Arial" w:cs="Arial"/>
          <w:sz w:val="22"/>
          <w:szCs w:val="22"/>
        </w:rPr>
        <w:t xml:space="preserve">presentations which are linked </w:t>
      </w:r>
      <w:r w:rsidR="00C50224" w:rsidRPr="00FF6192">
        <w:rPr>
          <w:rFonts w:ascii="Arial" w:hAnsi="Arial" w:cs="Arial"/>
          <w:sz w:val="22"/>
          <w:szCs w:val="22"/>
        </w:rPr>
        <w:t>to small group discussions of case studies</w:t>
      </w:r>
      <w:r w:rsidR="00A92235">
        <w:rPr>
          <w:rFonts w:ascii="Arial" w:hAnsi="Arial" w:cs="Arial"/>
          <w:sz w:val="22"/>
          <w:szCs w:val="22"/>
        </w:rPr>
        <w:t xml:space="preserve"> (these activities </w:t>
      </w:r>
      <w:r w:rsidR="00065546">
        <w:rPr>
          <w:rFonts w:ascii="Arial" w:hAnsi="Arial" w:cs="Arial"/>
          <w:sz w:val="22"/>
          <w:szCs w:val="22"/>
        </w:rPr>
        <w:t xml:space="preserve">amount to </w:t>
      </w:r>
      <w:r w:rsidR="0091402B">
        <w:rPr>
          <w:rFonts w:ascii="Arial" w:hAnsi="Arial" w:cs="Arial"/>
          <w:sz w:val="22"/>
          <w:szCs w:val="22"/>
        </w:rPr>
        <w:t xml:space="preserve">8 to </w:t>
      </w:r>
      <w:r w:rsidR="00C56090">
        <w:rPr>
          <w:rFonts w:ascii="Arial" w:hAnsi="Arial" w:cs="Arial"/>
          <w:sz w:val="22"/>
          <w:szCs w:val="22"/>
        </w:rPr>
        <w:t xml:space="preserve">10 </w:t>
      </w:r>
      <w:r w:rsidR="00A92235">
        <w:rPr>
          <w:rFonts w:ascii="Arial" w:hAnsi="Arial" w:cs="Arial"/>
          <w:sz w:val="22"/>
          <w:szCs w:val="22"/>
        </w:rPr>
        <w:t>in-person contact hours).</w:t>
      </w:r>
      <w:r w:rsidR="00C50224" w:rsidRPr="00FF6192">
        <w:rPr>
          <w:rFonts w:ascii="Arial" w:hAnsi="Arial" w:cs="Arial"/>
          <w:sz w:val="22"/>
          <w:szCs w:val="22"/>
        </w:rPr>
        <w:t xml:space="preserve"> </w:t>
      </w:r>
      <w:r w:rsidR="00B440EE">
        <w:rPr>
          <w:rFonts w:ascii="Arial" w:hAnsi="Arial" w:cs="Arial"/>
          <w:sz w:val="22"/>
          <w:szCs w:val="22"/>
        </w:rPr>
        <w:t>P</w:t>
      </w:r>
      <w:r w:rsidR="00EC2C06" w:rsidRPr="00FF6192">
        <w:rPr>
          <w:rFonts w:ascii="Arial" w:hAnsi="Arial" w:cs="Arial"/>
          <w:sz w:val="22"/>
          <w:szCs w:val="22"/>
        </w:rPr>
        <w:t>res</w:t>
      </w:r>
      <w:r w:rsidR="00065810">
        <w:rPr>
          <w:rFonts w:ascii="Arial" w:hAnsi="Arial" w:cs="Arial"/>
          <w:sz w:val="22"/>
          <w:szCs w:val="22"/>
        </w:rPr>
        <w:t xml:space="preserve">entations </w:t>
      </w:r>
      <w:r w:rsidR="00B440EE">
        <w:rPr>
          <w:rFonts w:ascii="Arial" w:hAnsi="Arial" w:cs="Arial"/>
          <w:sz w:val="22"/>
          <w:szCs w:val="22"/>
        </w:rPr>
        <w:t xml:space="preserve">of relevant content </w:t>
      </w:r>
      <w:r w:rsidR="00331E9D">
        <w:rPr>
          <w:rFonts w:ascii="Arial" w:hAnsi="Arial" w:cs="Arial"/>
          <w:sz w:val="22"/>
          <w:szCs w:val="22"/>
        </w:rPr>
        <w:t>and interactive ex</w:t>
      </w:r>
      <w:r w:rsidR="00C56090">
        <w:rPr>
          <w:rFonts w:ascii="Arial" w:hAnsi="Arial" w:cs="Arial"/>
          <w:sz w:val="22"/>
          <w:szCs w:val="22"/>
        </w:rPr>
        <w:t>e</w:t>
      </w:r>
      <w:r w:rsidR="00331E9D">
        <w:rPr>
          <w:rFonts w:ascii="Arial" w:hAnsi="Arial" w:cs="Arial"/>
          <w:sz w:val="22"/>
          <w:szCs w:val="22"/>
        </w:rPr>
        <w:t>r</w:t>
      </w:r>
      <w:r w:rsidR="00C56090">
        <w:rPr>
          <w:rFonts w:ascii="Arial" w:hAnsi="Arial" w:cs="Arial"/>
          <w:sz w:val="22"/>
          <w:szCs w:val="22"/>
        </w:rPr>
        <w:t xml:space="preserve">cises </w:t>
      </w:r>
      <w:r w:rsidR="006D0E29">
        <w:rPr>
          <w:rFonts w:ascii="Arial" w:hAnsi="Arial" w:cs="Arial"/>
          <w:sz w:val="22"/>
          <w:szCs w:val="22"/>
        </w:rPr>
        <w:t>occur</w:t>
      </w:r>
      <w:r w:rsidR="00065810">
        <w:rPr>
          <w:rFonts w:ascii="Arial" w:hAnsi="Arial" w:cs="Arial"/>
          <w:sz w:val="22"/>
          <w:szCs w:val="22"/>
        </w:rPr>
        <w:t xml:space="preserve"> </w:t>
      </w:r>
      <w:r w:rsidR="00B440EE">
        <w:rPr>
          <w:rFonts w:ascii="Arial" w:hAnsi="Arial" w:cs="Arial"/>
          <w:sz w:val="22"/>
          <w:szCs w:val="22"/>
        </w:rPr>
        <w:t xml:space="preserve">in </w:t>
      </w:r>
      <w:r w:rsidR="00065810">
        <w:rPr>
          <w:rFonts w:ascii="Arial" w:hAnsi="Arial" w:cs="Arial"/>
          <w:sz w:val="22"/>
          <w:szCs w:val="22"/>
        </w:rPr>
        <w:t>plenary session</w:t>
      </w:r>
      <w:r w:rsidR="00B440EE">
        <w:rPr>
          <w:rFonts w:ascii="Arial" w:hAnsi="Arial" w:cs="Arial"/>
          <w:sz w:val="22"/>
          <w:szCs w:val="22"/>
        </w:rPr>
        <w:t>s</w:t>
      </w:r>
      <w:r w:rsidR="00065810">
        <w:rPr>
          <w:rFonts w:ascii="Arial" w:hAnsi="Arial" w:cs="Arial"/>
          <w:sz w:val="22"/>
          <w:szCs w:val="22"/>
        </w:rPr>
        <w:t xml:space="preserve">.  </w:t>
      </w:r>
      <w:r w:rsidR="00EC2C06" w:rsidRPr="00FF6192">
        <w:rPr>
          <w:rFonts w:ascii="Arial" w:hAnsi="Arial" w:cs="Arial"/>
          <w:sz w:val="22"/>
          <w:szCs w:val="22"/>
        </w:rPr>
        <w:t>Learning-centered approaches used to engage students in</w:t>
      </w:r>
      <w:r w:rsidR="00FA51FA">
        <w:rPr>
          <w:rFonts w:ascii="Arial" w:hAnsi="Arial" w:cs="Arial"/>
          <w:sz w:val="22"/>
          <w:szCs w:val="22"/>
        </w:rPr>
        <w:t>clude</w:t>
      </w:r>
      <w:r w:rsidR="00EC2C06" w:rsidRPr="00FF6192">
        <w:rPr>
          <w:rFonts w:ascii="Arial" w:hAnsi="Arial" w:cs="Arial"/>
          <w:sz w:val="22"/>
          <w:szCs w:val="22"/>
        </w:rPr>
        <w:t>: 1) completion of survey instruments prior</w:t>
      </w:r>
      <w:r w:rsidR="00715A4C" w:rsidRPr="00FF6192">
        <w:rPr>
          <w:rFonts w:ascii="Arial" w:hAnsi="Arial" w:cs="Arial"/>
          <w:sz w:val="22"/>
          <w:szCs w:val="22"/>
        </w:rPr>
        <w:t xml:space="preserve"> to</w:t>
      </w:r>
      <w:r w:rsidR="00EC2C06" w:rsidRPr="00FF6192">
        <w:rPr>
          <w:rFonts w:ascii="Arial" w:hAnsi="Arial" w:cs="Arial"/>
          <w:sz w:val="22"/>
          <w:szCs w:val="22"/>
        </w:rPr>
        <w:t xml:space="preserve"> or during class to probe attitudes and knowledge about relevant topics</w:t>
      </w:r>
      <w:r w:rsidR="00715A4C" w:rsidRPr="00FF6192">
        <w:rPr>
          <w:rFonts w:ascii="Arial" w:hAnsi="Arial" w:cs="Arial"/>
          <w:sz w:val="22"/>
          <w:szCs w:val="22"/>
        </w:rPr>
        <w:t>; 2</w:t>
      </w:r>
      <w:proofErr w:type="gramStart"/>
      <w:r w:rsidR="00715A4C" w:rsidRPr="00FF6192">
        <w:rPr>
          <w:rFonts w:ascii="Arial" w:hAnsi="Arial" w:cs="Arial"/>
          <w:sz w:val="22"/>
          <w:szCs w:val="22"/>
        </w:rPr>
        <w:t>)  discussion</w:t>
      </w:r>
      <w:proofErr w:type="gramEnd"/>
      <w:r w:rsidR="00715A4C" w:rsidRPr="00FF6192">
        <w:rPr>
          <w:rFonts w:ascii="Arial" w:hAnsi="Arial" w:cs="Arial"/>
          <w:sz w:val="22"/>
          <w:szCs w:val="22"/>
        </w:rPr>
        <w:t xml:space="preserve"> of general questions </w:t>
      </w:r>
      <w:r w:rsidR="00FC2D10">
        <w:rPr>
          <w:rFonts w:ascii="Arial" w:hAnsi="Arial" w:cs="Arial"/>
          <w:sz w:val="22"/>
          <w:szCs w:val="22"/>
        </w:rPr>
        <w:t xml:space="preserve">and cases </w:t>
      </w:r>
      <w:r w:rsidR="00715A4C" w:rsidRPr="00FF6192">
        <w:rPr>
          <w:rFonts w:ascii="Arial" w:hAnsi="Arial" w:cs="Arial"/>
          <w:sz w:val="22"/>
          <w:szCs w:val="22"/>
        </w:rPr>
        <w:t>found at the e</w:t>
      </w:r>
      <w:r w:rsidR="00FA51FA">
        <w:rPr>
          <w:rFonts w:ascii="Arial" w:hAnsi="Arial" w:cs="Arial"/>
          <w:sz w:val="22"/>
          <w:szCs w:val="22"/>
        </w:rPr>
        <w:t>nd of each chapter in the text</w:t>
      </w:r>
      <w:r w:rsidR="006D57D3">
        <w:rPr>
          <w:rFonts w:ascii="Arial" w:hAnsi="Arial" w:cs="Arial"/>
          <w:sz w:val="22"/>
          <w:szCs w:val="22"/>
        </w:rPr>
        <w:t xml:space="preserve"> as well as other sources</w:t>
      </w:r>
      <w:r w:rsidR="00715A4C" w:rsidRPr="00FF6192">
        <w:rPr>
          <w:rFonts w:ascii="Arial" w:hAnsi="Arial" w:cs="Arial"/>
          <w:sz w:val="22"/>
          <w:szCs w:val="22"/>
        </w:rPr>
        <w:t xml:space="preserve">; and 3) discussion of relevant current events covered in the media.  </w:t>
      </w:r>
    </w:p>
    <w:p w14:paraId="73459177" w14:textId="77777777" w:rsidR="00715A4C" w:rsidRDefault="00715A4C" w:rsidP="0029362F">
      <w:pPr>
        <w:rPr>
          <w:rFonts w:ascii="Arial" w:hAnsi="Arial" w:cs="Arial"/>
          <w:sz w:val="22"/>
          <w:szCs w:val="22"/>
        </w:rPr>
      </w:pPr>
    </w:p>
    <w:p w14:paraId="4EEA88CD" w14:textId="1164DAC3" w:rsidR="00FD112B" w:rsidRPr="00C50224" w:rsidRDefault="008570B1" w:rsidP="0029362F">
      <w:pPr>
        <w:rPr>
          <w:rFonts w:ascii="Arial" w:hAnsi="Arial" w:cs="Arial"/>
          <w:sz w:val="22"/>
          <w:szCs w:val="22"/>
        </w:rPr>
      </w:pPr>
      <w:r>
        <w:rPr>
          <w:rFonts w:ascii="Arial" w:hAnsi="Arial" w:cs="Arial"/>
          <w:sz w:val="22"/>
          <w:szCs w:val="22"/>
        </w:rPr>
        <w:t xml:space="preserve">Grading </w:t>
      </w:r>
      <w:r w:rsidR="00FD112B" w:rsidRPr="00C50224">
        <w:rPr>
          <w:rFonts w:ascii="Arial" w:hAnsi="Arial" w:cs="Arial"/>
          <w:sz w:val="22"/>
          <w:szCs w:val="22"/>
        </w:rPr>
        <w:t>in the course is base</w:t>
      </w:r>
      <w:r w:rsidR="00E71E35">
        <w:rPr>
          <w:rFonts w:ascii="Arial" w:hAnsi="Arial" w:cs="Arial"/>
          <w:sz w:val="22"/>
          <w:szCs w:val="22"/>
        </w:rPr>
        <w:t xml:space="preserve">d </w:t>
      </w:r>
      <w:r w:rsidR="00287E1F">
        <w:rPr>
          <w:rFonts w:ascii="Arial" w:hAnsi="Arial" w:cs="Arial"/>
          <w:sz w:val="22"/>
          <w:szCs w:val="22"/>
        </w:rPr>
        <w:t>on attendance</w:t>
      </w:r>
      <w:r w:rsidR="00F02D0B">
        <w:rPr>
          <w:rFonts w:ascii="Arial" w:hAnsi="Arial" w:cs="Arial"/>
          <w:sz w:val="22"/>
          <w:szCs w:val="22"/>
        </w:rPr>
        <w:t>,</w:t>
      </w:r>
      <w:r w:rsidR="00287E1F">
        <w:rPr>
          <w:rFonts w:ascii="Arial" w:hAnsi="Arial" w:cs="Arial"/>
          <w:sz w:val="22"/>
          <w:szCs w:val="22"/>
        </w:rPr>
        <w:t xml:space="preserve"> </w:t>
      </w:r>
      <w:r w:rsidR="00FD112B" w:rsidRPr="00C50224">
        <w:rPr>
          <w:rFonts w:ascii="Arial" w:hAnsi="Arial" w:cs="Arial"/>
          <w:sz w:val="22"/>
          <w:szCs w:val="22"/>
        </w:rPr>
        <w:t>class pa</w:t>
      </w:r>
      <w:r w:rsidR="00287E1F">
        <w:rPr>
          <w:rFonts w:ascii="Arial" w:hAnsi="Arial" w:cs="Arial"/>
          <w:sz w:val="22"/>
          <w:szCs w:val="22"/>
        </w:rPr>
        <w:t>rticipation</w:t>
      </w:r>
      <w:r w:rsidR="00F02D0B">
        <w:rPr>
          <w:rFonts w:ascii="Arial" w:hAnsi="Arial" w:cs="Arial"/>
          <w:sz w:val="22"/>
          <w:szCs w:val="22"/>
        </w:rPr>
        <w:t xml:space="preserve"> or completion of assignments</w:t>
      </w:r>
      <w:r w:rsidR="00287E1F">
        <w:rPr>
          <w:rFonts w:ascii="Arial" w:hAnsi="Arial" w:cs="Arial"/>
          <w:sz w:val="22"/>
          <w:szCs w:val="22"/>
        </w:rPr>
        <w:t xml:space="preserve">. </w:t>
      </w:r>
      <w:r w:rsidR="00FD112B" w:rsidRPr="00C50224">
        <w:rPr>
          <w:rFonts w:ascii="Arial" w:hAnsi="Arial" w:cs="Arial"/>
          <w:sz w:val="22"/>
          <w:szCs w:val="22"/>
        </w:rPr>
        <w:t xml:space="preserve"> </w:t>
      </w:r>
      <w:r w:rsidR="00C50224">
        <w:rPr>
          <w:rFonts w:ascii="Arial" w:hAnsi="Arial" w:cs="Arial"/>
          <w:sz w:val="22"/>
          <w:szCs w:val="22"/>
        </w:rPr>
        <w:t xml:space="preserve">Attendance at in-class sessions is mandatory; </w:t>
      </w:r>
      <w:r w:rsidR="006D57D3">
        <w:rPr>
          <w:rFonts w:ascii="Arial" w:hAnsi="Arial" w:cs="Arial"/>
          <w:sz w:val="22"/>
          <w:szCs w:val="22"/>
        </w:rPr>
        <w:t xml:space="preserve">an </w:t>
      </w:r>
      <w:r w:rsidR="00C50224">
        <w:rPr>
          <w:rFonts w:ascii="Arial" w:hAnsi="Arial" w:cs="Arial"/>
          <w:sz w:val="22"/>
          <w:szCs w:val="22"/>
        </w:rPr>
        <w:t xml:space="preserve">excused absence </w:t>
      </w:r>
      <w:r w:rsidR="006D57D3">
        <w:rPr>
          <w:rFonts w:ascii="Arial" w:hAnsi="Arial" w:cs="Arial"/>
          <w:sz w:val="22"/>
          <w:szCs w:val="22"/>
        </w:rPr>
        <w:t xml:space="preserve">is </w:t>
      </w:r>
      <w:r w:rsidR="00C50224">
        <w:rPr>
          <w:rFonts w:ascii="Arial" w:hAnsi="Arial" w:cs="Arial"/>
          <w:sz w:val="22"/>
          <w:szCs w:val="22"/>
        </w:rPr>
        <w:t xml:space="preserve">permitted but must be offset with an acceptable </w:t>
      </w:r>
      <w:r w:rsidR="00B15EBE">
        <w:rPr>
          <w:rFonts w:ascii="Arial" w:hAnsi="Arial" w:cs="Arial"/>
          <w:sz w:val="22"/>
          <w:szCs w:val="22"/>
        </w:rPr>
        <w:t xml:space="preserve">makeup </w:t>
      </w:r>
      <w:r w:rsidR="00C50224">
        <w:rPr>
          <w:rFonts w:ascii="Arial" w:hAnsi="Arial" w:cs="Arial"/>
          <w:sz w:val="22"/>
          <w:szCs w:val="22"/>
        </w:rPr>
        <w:t>assignment prescribed by the course director.</w:t>
      </w:r>
    </w:p>
    <w:p w14:paraId="168F0302" w14:textId="77777777" w:rsidR="00FD112B" w:rsidRPr="00C50224" w:rsidRDefault="00FD112B" w:rsidP="0029362F">
      <w:pPr>
        <w:rPr>
          <w:rFonts w:ascii="Arial" w:hAnsi="Arial" w:cs="Arial"/>
          <w:sz w:val="22"/>
          <w:szCs w:val="22"/>
        </w:rPr>
      </w:pPr>
    </w:p>
    <w:p w14:paraId="077311BC" w14:textId="67419C74" w:rsidR="00B440EE" w:rsidRPr="00A13D51" w:rsidRDefault="00FD112B" w:rsidP="0029362F">
      <w:pPr>
        <w:rPr>
          <w:rFonts w:ascii="Arial" w:hAnsi="Arial" w:cs="Arial"/>
          <w:sz w:val="22"/>
          <w:szCs w:val="22"/>
        </w:rPr>
      </w:pPr>
      <w:r w:rsidRPr="00C50224">
        <w:rPr>
          <w:rFonts w:ascii="Arial" w:hAnsi="Arial" w:cs="Arial"/>
          <w:i/>
          <w:sz w:val="22"/>
          <w:szCs w:val="22"/>
        </w:rPr>
        <w:t>Subject Matter:</w:t>
      </w:r>
      <w:r w:rsidRPr="00C50224">
        <w:rPr>
          <w:rFonts w:ascii="Arial" w:hAnsi="Arial" w:cs="Arial"/>
          <w:sz w:val="22"/>
          <w:szCs w:val="22"/>
        </w:rPr>
        <w:t xml:space="preserve">  </w:t>
      </w:r>
      <w:r w:rsidR="00B440EE" w:rsidRPr="00A13D51">
        <w:rPr>
          <w:rFonts w:ascii="Arial" w:hAnsi="Arial" w:cs="Arial"/>
          <w:sz w:val="22"/>
          <w:szCs w:val="22"/>
        </w:rPr>
        <w:t xml:space="preserve">The course uses </w:t>
      </w:r>
      <w:r w:rsidR="00B440EE" w:rsidRPr="00A13D51">
        <w:rPr>
          <w:rFonts w:ascii="Arial" w:hAnsi="Arial" w:cs="Arial"/>
          <w:i/>
          <w:sz w:val="22"/>
          <w:szCs w:val="22"/>
        </w:rPr>
        <w:t>Scientific Integrity:  Text and Cases in Responsible Conduct of Research</w:t>
      </w:r>
      <w:r w:rsidR="00287E1F">
        <w:rPr>
          <w:rFonts w:ascii="Arial" w:hAnsi="Arial" w:cs="Arial"/>
          <w:i/>
          <w:sz w:val="22"/>
          <w:szCs w:val="22"/>
        </w:rPr>
        <w:t>- 4</w:t>
      </w:r>
      <w:r w:rsidR="00287E1F" w:rsidRPr="00287E1F">
        <w:rPr>
          <w:rFonts w:ascii="Arial" w:hAnsi="Arial" w:cs="Arial"/>
          <w:i/>
          <w:sz w:val="22"/>
          <w:szCs w:val="22"/>
          <w:vertAlign w:val="superscript"/>
        </w:rPr>
        <w:t>th</w:t>
      </w:r>
      <w:r w:rsidR="00287E1F">
        <w:rPr>
          <w:rFonts w:ascii="Arial" w:hAnsi="Arial" w:cs="Arial"/>
          <w:i/>
          <w:sz w:val="22"/>
          <w:szCs w:val="22"/>
        </w:rPr>
        <w:t xml:space="preserve"> Edition</w:t>
      </w:r>
      <w:r w:rsidR="00B440EE" w:rsidRPr="00A13D51">
        <w:rPr>
          <w:rFonts w:ascii="Arial" w:hAnsi="Arial" w:cs="Arial"/>
          <w:i/>
          <w:sz w:val="22"/>
          <w:szCs w:val="22"/>
        </w:rPr>
        <w:t xml:space="preserve"> </w:t>
      </w:r>
      <w:r w:rsidR="00451696">
        <w:rPr>
          <w:rFonts w:ascii="Arial" w:hAnsi="Arial" w:cs="Arial"/>
          <w:sz w:val="22"/>
          <w:szCs w:val="22"/>
        </w:rPr>
        <w:t>by F. L. Macrina</w:t>
      </w:r>
      <w:r w:rsidR="00B440EE" w:rsidRPr="00A13D51">
        <w:rPr>
          <w:rFonts w:ascii="Arial" w:hAnsi="Arial" w:cs="Arial"/>
          <w:i/>
          <w:sz w:val="22"/>
          <w:szCs w:val="22"/>
        </w:rPr>
        <w:t xml:space="preserve"> </w:t>
      </w:r>
      <w:r w:rsidR="00B440EE" w:rsidRPr="00A13D51">
        <w:rPr>
          <w:rFonts w:ascii="Arial" w:hAnsi="Arial" w:cs="Arial"/>
          <w:sz w:val="22"/>
          <w:szCs w:val="22"/>
        </w:rPr>
        <w:t xml:space="preserve">(ASM Press, Washington, DC.) as its required textbook.  The fourth edition of this text was published in July 2014.  </w:t>
      </w:r>
      <w:r w:rsidR="00A61B08">
        <w:rPr>
          <w:rFonts w:ascii="Arial" w:hAnsi="Arial" w:cs="Arial"/>
          <w:sz w:val="22"/>
          <w:szCs w:val="22"/>
        </w:rPr>
        <w:t>This</w:t>
      </w:r>
      <w:r w:rsidR="00B440EE" w:rsidRPr="00A13D51">
        <w:rPr>
          <w:rFonts w:ascii="Arial" w:hAnsi="Arial" w:cs="Arial"/>
          <w:sz w:val="22"/>
          <w:szCs w:val="22"/>
        </w:rPr>
        <w:t xml:space="preserve"> edition has been adopted for use at</w:t>
      </w:r>
      <w:r w:rsidR="00B549F3">
        <w:rPr>
          <w:rFonts w:ascii="Arial" w:hAnsi="Arial" w:cs="Arial"/>
          <w:sz w:val="22"/>
          <w:szCs w:val="22"/>
        </w:rPr>
        <w:t xml:space="preserve"> </w:t>
      </w:r>
      <w:r w:rsidR="00B440EE" w:rsidRPr="00A13D51">
        <w:rPr>
          <w:rFonts w:ascii="Arial" w:hAnsi="Arial" w:cs="Arial"/>
          <w:sz w:val="22"/>
          <w:szCs w:val="22"/>
        </w:rPr>
        <w:t>51 US institutions and 14 international institutions</w:t>
      </w:r>
      <w:r w:rsidR="00530A72">
        <w:rPr>
          <w:rFonts w:ascii="Arial" w:hAnsi="Arial" w:cs="Arial"/>
          <w:sz w:val="22"/>
          <w:szCs w:val="22"/>
        </w:rPr>
        <w:t xml:space="preserve">  </w:t>
      </w:r>
      <w:r w:rsidR="00B440EE" w:rsidRPr="00A13D51">
        <w:rPr>
          <w:rFonts w:ascii="Arial" w:hAnsi="Arial" w:cs="Arial"/>
          <w:sz w:val="22"/>
          <w:szCs w:val="22"/>
        </w:rPr>
        <w:t>making it one of the most widely used teaching resources in the field</w:t>
      </w:r>
      <w:r w:rsidR="00530A72">
        <w:rPr>
          <w:rFonts w:ascii="Arial" w:hAnsi="Arial" w:cs="Arial"/>
          <w:sz w:val="22"/>
          <w:szCs w:val="22"/>
        </w:rPr>
        <w:t xml:space="preserve">  (Source: ASM Press)</w:t>
      </w:r>
      <w:r w:rsidR="00B440EE" w:rsidRPr="00A13D51">
        <w:rPr>
          <w:rFonts w:ascii="Arial" w:hAnsi="Arial" w:cs="Arial"/>
          <w:sz w:val="22"/>
          <w:szCs w:val="22"/>
        </w:rPr>
        <w:t>.  VCU Libraries has procured an e-book version of the fourth edition which has unlimited</w:t>
      </w:r>
      <w:r w:rsidR="00287E1F">
        <w:rPr>
          <w:rFonts w:ascii="Arial" w:hAnsi="Arial" w:cs="Arial"/>
          <w:sz w:val="22"/>
          <w:szCs w:val="22"/>
        </w:rPr>
        <w:t>, multi-user</w:t>
      </w:r>
      <w:r w:rsidR="00B440EE" w:rsidRPr="00A13D51">
        <w:rPr>
          <w:rFonts w:ascii="Arial" w:hAnsi="Arial" w:cs="Arial"/>
          <w:sz w:val="22"/>
          <w:szCs w:val="22"/>
        </w:rPr>
        <w:t xml:space="preserve"> access.  </w:t>
      </w:r>
    </w:p>
    <w:p w14:paraId="647C2100" w14:textId="77777777" w:rsidR="00FF6192" w:rsidRDefault="00FF6192" w:rsidP="0029362F">
      <w:pPr>
        <w:rPr>
          <w:rFonts w:ascii="Arial" w:hAnsi="Arial" w:cs="Arial"/>
          <w:sz w:val="22"/>
          <w:szCs w:val="22"/>
        </w:rPr>
      </w:pPr>
    </w:p>
    <w:p w14:paraId="04A670D1" w14:textId="6DC8B37D" w:rsidR="00CA642E" w:rsidRDefault="00FF6192" w:rsidP="0029362F">
      <w:pPr>
        <w:rPr>
          <w:rFonts w:ascii="Arial" w:hAnsi="Arial" w:cs="Arial"/>
          <w:sz w:val="22"/>
          <w:szCs w:val="22"/>
        </w:rPr>
      </w:pPr>
      <w:r>
        <w:rPr>
          <w:rFonts w:ascii="Arial" w:hAnsi="Arial" w:cs="Arial"/>
          <w:sz w:val="22"/>
          <w:szCs w:val="22"/>
        </w:rPr>
        <w:t xml:space="preserve">The course content covers the </w:t>
      </w:r>
      <w:r w:rsidR="00FD112B" w:rsidRPr="00C50224">
        <w:rPr>
          <w:rFonts w:ascii="Arial" w:hAnsi="Arial" w:cs="Arial"/>
          <w:sz w:val="22"/>
          <w:szCs w:val="22"/>
        </w:rPr>
        <w:t xml:space="preserve">nine </w:t>
      </w:r>
      <w:r>
        <w:rPr>
          <w:rFonts w:ascii="Arial" w:hAnsi="Arial" w:cs="Arial"/>
          <w:sz w:val="22"/>
          <w:szCs w:val="22"/>
        </w:rPr>
        <w:t xml:space="preserve">commonly accepted </w:t>
      </w:r>
      <w:r w:rsidR="00FD112B" w:rsidRPr="00C50224">
        <w:rPr>
          <w:rFonts w:ascii="Arial" w:hAnsi="Arial" w:cs="Arial"/>
          <w:sz w:val="22"/>
          <w:szCs w:val="22"/>
        </w:rPr>
        <w:t>NIH instruction</w:t>
      </w:r>
      <w:r>
        <w:rPr>
          <w:rFonts w:ascii="Arial" w:hAnsi="Arial" w:cs="Arial"/>
          <w:sz w:val="22"/>
          <w:szCs w:val="22"/>
        </w:rPr>
        <w:t>al topics taught in RCR courses.</w:t>
      </w:r>
      <w:r w:rsidR="00FD112B" w:rsidRPr="00C50224">
        <w:rPr>
          <w:rFonts w:ascii="Arial" w:hAnsi="Arial" w:cs="Arial"/>
          <w:sz w:val="22"/>
          <w:szCs w:val="22"/>
        </w:rPr>
        <w:t xml:space="preserve">  </w:t>
      </w:r>
      <w:r>
        <w:rPr>
          <w:rFonts w:ascii="Arial" w:hAnsi="Arial" w:cs="Arial"/>
          <w:sz w:val="22"/>
          <w:szCs w:val="22"/>
        </w:rPr>
        <w:t>These are re</w:t>
      </w:r>
      <w:r w:rsidR="00CA642E">
        <w:rPr>
          <w:rFonts w:ascii="Arial" w:hAnsi="Arial" w:cs="Arial"/>
          <w:sz w:val="22"/>
          <w:szCs w:val="22"/>
        </w:rPr>
        <w:t>f</w:t>
      </w:r>
      <w:r>
        <w:rPr>
          <w:rFonts w:ascii="Arial" w:hAnsi="Arial" w:cs="Arial"/>
          <w:sz w:val="22"/>
          <w:szCs w:val="22"/>
        </w:rPr>
        <w:t>lected in the required reading in the 4</w:t>
      </w:r>
      <w:r w:rsidRPr="00FF6192">
        <w:rPr>
          <w:rFonts w:ascii="Arial" w:hAnsi="Arial" w:cs="Arial"/>
          <w:sz w:val="22"/>
          <w:szCs w:val="22"/>
          <w:vertAlign w:val="superscript"/>
        </w:rPr>
        <w:t>th</w:t>
      </w:r>
      <w:r>
        <w:rPr>
          <w:rFonts w:ascii="Arial" w:hAnsi="Arial" w:cs="Arial"/>
          <w:sz w:val="22"/>
          <w:szCs w:val="22"/>
        </w:rPr>
        <w:t xml:space="preserve"> edition of the </w:t>
      </w:r>
      <w:r>
        <w:rPr>
          <w:rFonts w:ascii="Arial" w:hAnsi="Arial" w:cs="Arial"/>
          <w:i/>
          <w:sz w:val="22"/>
          <w:szCs w:val="22"/>
        </w:rPr>
        <w:t xml:space="preserve">Scientific Integrity </w:t>
      </w:r>
      <w:r>
        <w:rPr>
          <w:rFonts w:ascii="Arial" w:hAnsi="Arial" w:cs="Arial"/>
          <w:sz w:val="22"/>
          <w:szCs w:val="22"/>
        </w:rPr>
        <w:t>text</w:t>
      </w:r>
      <w:r w:rsidR="00BE4DA8">
        <w:rPr>
          <w:rFonts w:ascii="Arial" w:hAnsi="Arial" w:cs="Arial"/>
          <w:sz w:val="22"/>
          <w:szCs w:val="22"/>
        </w:rPr>
        <w:t xml:space="preserve"> as illustrated in the following table.</w:t>
      </w:r>
      <w:r w:rsidR="00CA642E">
        <w:rPr>
          <w:rFonts w:ascii="Arial" w:hAnsi="Arial" w:cs="Arial"/>
          <w:sz w:val="22"/>
          <w:szCs w:val="22"/>
        </w:rPr>
        <w:t xml:space="preserve">  </w:t>
      </w:r>
    </w:p>
    <w:p w14:paraId="0042C238" w14:textId="77777777" w:rsidR="00CA642E" w:rsidRDefault="00CA642E" w:rsidP="0029362F">
      <w:pPr>
        <w:rPr>
          <w:rFonts w:ascii="Arial" w:hAnsi="Arial" w:cs="Arial"/>
          <w:sz w:val="22"/>
          <w:szCs w:val="22"/>
        </w:rPr>
      </w:pPr>
    </w:p>
    <w:tbl>
      <w:tblPr>
        <w:tblStyle w:val="TableGrid"/>
        <w:tblW w:w="9720" w:type="dxa"/>
        <w:tblInd w:w="85" w:type="dxa"/>
        <w:tblLook w:val="04A0" w:firstRow="1" w:lastRow="0" w:firstColumn="1" w:lastColumn="0" w:noHBand="0" w:noVBand="1"/>
      </w:tblPr>
      <w:tblGrid>
        <w:gridCol w:w="4865"/>
        <w:gridCol w:w="4855"/>
      </w:tblGrid>
      <w:tr w:rsidR="00CA642E" w14:paraId="25BE9C0F" w14:textId="77777777" w:rsidTr="00F02D0B">
        <w:tc>
          <w:tcPr>
            <w:tcW w:w="4870" w:type="dxa"/>
          </w:tcPr>
          <w:p w14:paraId="1C218BFA" w14:textId="2734CCF5" w:rsidR="00CA642E" w:rsidRPr="0079087A" w:rsidRDefault="00CA642E" w:rsidP="0029362F">
            <w:pPr>
              <w:rPr>
                <w:rFonts w:ascii="Arial" w:hAnsi="Arial" w:cs="Arial"/>
                <w:b/>
                <w:sz w:val="22"/>
                <w:szCs w:val="22"/>
              </w:rPr>
            </w:pPr>
            <w:r w:rsidRPr="0079087A">
              <w:rPr>
                <w:rFonts w:ascii="Arial" w:hAnsi="Arial" w:cs="Arial"/>
                <w:b/>
                <w:sz w:val="22"/>
                <w:szCs w:val="22"/>
              </w:rPr>
              <w:t>NIH  Content Area</w:t>
            </w:r>
          </w:p>
          <w:p w14:paraId="4E03C10D" w14:textId="4CFD29AE" w:rsidR="00CA642E" w:rsidRPr="0079087A" w:rsidRDefault="00CA642E" w:rsidP="0029362F">
            <w:pPr>
              <w:rPr>
                <w:rFonts w:ascii="Arial" w:hAnsi="Arial" w:cs="Arial"/>
                <w:b/>
                <w:sz w:val="22"/>
                <w:szCs w:val="22"/>
              </w:rPr>
            </w:pPr>
          </w:p>
        </w:tc>
        <w:tc>
          <w:tcPr>
            <w:tcW w:w="4850" w:type="dxa"/>
          </w:tcPr>
          <w:p w14:paraId="0111DFAD" w14:textId="77777777" w:rsidR="00CA642E" w:rsidRPr="00CA642E" w:rsidRDefault="0054469E" w:rsidP="0029362F">
            <w:pPr>
              <w:rPr>
                <w:rFonts w:ascii="Arial" w:hAnsi="Arial" w:cs="Arial"/>
                <w:b/>
                <w:i/>
                <w:sz w:val="22"/>
                <w:szCs w:val="22"/>
              </w:rPr>
            </w:pPr>
            <w:r>
              <w:rPr>
                <w:rFonts w:ascii="Arial" w:hAnsi="Arial" w:cs="Arial"/>
                <w:b/>
                <w:sz w:val="22"/>
                <w:szCs w:val="22"/>
              </w:rPr>
              <w:t>Corresponding Content</w:t>
            </w:r>
            <w:r w:rsidR="00CA642E">
              <w:rPr>
                <w:rFonts w:ascii="Arial" w:hAnsi="Arial" w:cs="Arial"/>
                <w:b/>
                <w:sz w:val="22"/>
                <w:szCs w:val="22"/>
              </w:rPr>
              <w:t xml:space="preserve"> in </w:t>
            </w:r>
            <w:r w:rsidR="00CA642E">
              <w:rPr>
                <w:rFonts w:ascii="Arial" w:hAnsi="Arial" w:cs="Arial"/>
                <w:b/>
                <w:i/>
                <w:sz w:val="22"/>
                <w:szCs w:val="22"/>
              </w:rPr>
              <w:t>Scientific Integrity (4</w:t>
            </w:r>
            <w:r w:rsidR="00CA642E" w:rsidRPr="00CA642E">
              <w:rPr>
                <w:rFonts w:ascii="Arial" w:hAnsi="Arial" w:cs="Arial"/>
                <w:b/>
                <w:i/>
                <w:sz w:val="22"/>
                <w:szCs w:val="22"/>
                <w:vertAlign w:val="superscript"/>
              </w:rPr>
              <w:t>th</w:t>
            </w:r>
            <w:r w:rsidR="00CA642E">
              <w:rPr>
                <w:rFonts w:ascii="Arial" w:hAnsi="Arial" w:cs="Arial"/>
                <w:b/>
                <w:i/>
                <w:sz w:val="22"/>
                <w:szCs w:val="22"/>
              </w:rPr>
              <w:t xml:space="preserve"> edition)</w:t>
            </w:r>
          </w:p>
        </w:tc>
      </w:tr>
      <w:tr w:rsidR="007B6EF9" w14:paraId="6855FC26" w14:textId="77777777" w:rsidTr="00D2028C">
        <w:tc>
          <w:tcPr>
            <w:tcW w:w="4860" w:type="dxa"/>
            <w:shd w:val="clear" w:color="auto" w:fill="D9D9D9" w:themeFill="background1" w:themeFillShade="D9"/>
          </w:tcPr>
          <w:p w14:paraId="791B1C94" w14:textId="77777777" w:rsidR="007B6EF9" w:rsidRDefault="007B6EF9" w:rsidP="0029362F">
            <w:pPr>
              <w:rPr>
                <w:rFonts w:ascii="Arial" w:hAnsi="Arial" w:cs="Arial"/>
                <w:b/>
                <w:sz w:val="22"/>
                <w:szCs w:val="22"/>
              </w:rPr>
            </w:pPr>
          </w:p>
        </w:tc>
        <w:tc>
          <w:tcPr>
            <w:tcW w:w="4860" w:type="dxa"/>
            <w:shd w:val="clear" w:color="auto" w:fill="D9D9D9" w:themeFill="background1" w:themeFillShade="D9"/>
          </w:tcPr>
          <w:p w14:paraId="1C75A55F" w14:textId="6C50F6DB" w:rsidR="007B6EF9" w:rsidRDefault="007B6EF9" w:rsidP="0029362F">
            <w:pPr>
              <w:rPr>
                <w:rFonts w:ascii="Arial" w:hAnsi="Arial" w:cs="Arial"/>
                <w:b/>
                <w:sz w:val="22"/>
                <w:szCs w:val="22"/>
              </w:rPr>
            </w:pPr>
          </w:p>
        </w:tc>
      </w:tr>
      <w:tr w:rsidR="00CA642E" w14:paraId="2FB849FB" w14:textId="77777777" w:rsidTr="00F02D0B">
        <w:tc>
          <w:tcPr>
            <w:tcW w:w="4870" w:type="dxa"/>
          </w:tcPr>
          <w:p w14:paraId="45B71CB4" w14:textId="77777777" w:rsidR="00CA642E" w:rsidRPr="0029362F" w:rsidRDefault="00CA642E" w:rsidP="0029362F">
            <w:pPr>
              <w:widowControl/>
              <w:shd w:val="clear" w:color="auto" w:fill="FFFFFF"/>
              <w:snapToGrid/>
              <w:spacing w:before="100" w:beforeAutospacing="1" w:after="100" w:afterAutospacing="1" w:line="255" w:lineRule="atLeast"/>
              <w:rPr>
                <w:rFonts w:ascii="Arial" w:hAnsi="Arial" w:cs="Arial"/>
                <w:color w:val="000000"/>
                <w:spacing w:val="3"/>
                <w:sz w:val="22"/>
                <w:szCs w:val="22"/>
              </w:rPr>
            </w:pPr>
            <w:r w:rsidRPr="0029362F">
              <w:rPr>
                <w:rFonts w:ascii="Arial" w:hAnsi="Arial" w:cs="Arial"/>
                <w:color w:val="000000"/>
                <w:spacing w:val="3"/>
                <w:sz w:val="22"/>
                <w:szCs w:val="22"/>
              </w:rPr>
              <w:t>conflict of interest – personal, professional, and financial</w:t>
            </w:r>
          </w:p>
        </w:tc>
        <w:tc>
          <w:tcPr>
            <w:tcW w:w="4850" w:type="dxa"/>
          </w:tcPr>
          <w:p w14:paraId="1CD4EDEC" w14:textId="77777777" w:rsidR="00CA642E" w:rsidRPr="0029362F" w:rsidRDefault="00DF1B91" w:rsidP="0029362F">
            <w:pPr>
              <w:rPr>
                <w:rFonts w:ascii="Arial" w:hAnsi="Arial" w:cs="Arial"/>
                <w:sz w:val="22"/>
                <w:szCs w:val="22"/>
              </w:rPr>
            </w:pPr>
            <w:r w:rsidRPr="0029362F">
              <w:rPr>
                <w:rFonts w:ascii="Arial" w:hAnsi="Arial" w:cs="Arial"/>
                <w:sz w:val="22"/>
                <w:szCs w:val="22"/>
              </w:rPr>
              <w:t>Chapter 7   Managing Competing Interests</w:t>
            </w:r>
          </w:p>
        </w:tc>
      </w:tr>
      <w:tr w:rsidR="00CA642E" w14:paraId="478A28E1" w14:textId="77777777" w:rsidTr="00F02D0B">
        <w:tc>
          <w:tcPr>
            <w:tcW w:w="4870" w:type="dxa"/>
          </w:tcPr>
          <w:p w14:paraId="4BFAF474" w14:textId="77777777" w:rsidR="00CA642E" w:rsidRPr="0029362F" w:rsidRDefault="00CA642E" w:rsidP="0029362F">
            <w:pPr>
              <w:widowControl/>
              <w:shd w:val="clear" w:color="auto" w:fill="FFFFFF"/>
              <w:snapToGrid/>
              <w:spacing w:before="100" w:beforeAutospacing="1" w:after="100" w:afterAutospacing="1" w:line="255" w:lineRule="atLeast"/>
              <w:rPr>
                <w:rFonts w:ascii="Arial" w:hAnsi="Arial" w:cs="Arial"/>
                <w:sz w:val="22"/>
                <w:szCs w:val="22"/>
              </w:rPr>
            </w:pPr>
            <w:r w:rsidRPr="0029362F">
              <w:rPr>
                <w:rFonts w:ascii="Arial" w:hAnsi="Arial" w:cs="Arial"/>
                <w:color w:val="000000"/>
                <w:spacing w:val="3"/>
                <w:sz w:val="22"/>
                <w:szCs w:val="22"/>
              </w:rPr>
              <w:t>policies regarding human subjects, live vertebrate animal subjects in research, and safe laboratory practices</w:t>
            </w:r>
          </w:p>
        </w:tc>
        <w:tc>
          <w:tcPr>
            <w:tcW w:w="4850" w:type="dxa"/>
          </w:tcPr>
          <w:p w14:paraId="7580F0E9" w14:textId="77777777" w:rsidR="00CA642E" w:rsidRPr="0029362F" w:rsidRDefault="00DF1B91" w:rsidP="0029362F">
            <w:pPr>
              <w:rPr>
                <w:rFonts w:ascii="Arial" w:hAnsi="Arial" w:cs="Arial"/>
                <w:sz w:val="22"/>
                <w:szCs w:val="22"/>
              </w:rPr>
            </w:pPr>
            <w:r w:rsidRPr="0029362F">
              <w:rPr>
                <w:rFonts w:ascii="Arial" w:hAnsi="Arial" w:cs="Arial"/>
                <w:sz w:val="22"/>
                <w:szCs w:val="22"/>
              </w:rPr>
              <w:t xml:space="preserve">Chapter 5 </w:t>
            </w:r>
            <w:r w:rsidR="00FA3C71" w:rsidRPr="0029362F">
              <w:rPr>
                <w:rFonts w:ascii="Arial" w:hAnsi="Arial" w:cs="Arial"/>
                <w:sz w:val="22"/>
                <w:szCs w:val="22"/>
              </w:rPr>
              <w:t xml:space="preserve"> </w:t>
            </w:r>
            <w:r w:rsidRPr="0029362F">
              <w:rPr>
                <w:rFonts w:ascii="Arial" w:hAnsi="Arial" w:cs="Arial"/>
                <w:sz w:val="22"/>
                <w:szCs w:val="22"/>
              </w:rPr>
              <w:t>Use of Humans in  Biomedical Experimentation</w:t>
            </w:r>
          </w:p>
          <w:p w14:paraId="6EA714A0" w14:textId="77777777" w:rsidR="00DF1B91" w:rsidRPr="0029362F" w:rsidRDefault="00DF1B91" w:rsidP="0029362F">
            <w:pPr>
              <w:rPr>
                <w:rFonts w:ascii="Arial" w:hAnsi="Arial" w:cs="Arial"/>
                <w:sz w:val="22"/>
                <w:szCs w:val="22"/>
              </w:rPr>
            </w:pPr>
            <w:r w:rsidRPr="0029362F">
              <w:rPr>
                <w:rFonts w:ascii="Arial" w:hAnsi="Arial" w:cs="Arial"/>
                <w:sz w:val="22"/>
                <w:szCs w:val="22"/>
              </w:rPr>
              <w:t xml:space="preserve">Chapter 6  </w:t>
            </w:r>
            <w:r w:rsidR="00FA3C71" w:rsidRPr="0029362F">
              <w:rPr>
                <w:rFonts w:ascii="Arial" w:hAnsi="Arial" w:cs="Arial"/>
                <w:sz w:val="22"/>
                <w:szCs w:val="22"/>
              </w:rPr>
              <w:t xml:space="preserve"> </w:t>
            </w:r>
            <w:r w:rsidRPr="0029362F">
              <w:rPr>
                <w:rFonts w:ascii="Arial" w:hAnsi="Arial" w:cs="Arial"/>
                <w:sz w:val="22"/>
                <w:szCs w:val="22"/>
              </w:rPr>
              <w:t>Use of Animals in Biomedical Experimentation</w:t>
            </w:r>
          </w:p>
          <w:p w14:paraId="1ACF333E" w14:textId="77777777" w:rsidR="0054469E" w:rsidRPr="0029362F" w:rsidRDefault="0054469E" w:rsidP="0029362F">
            <w:pPr>
              <w:rPr>
                <w:rFonts w:ascii="Arial" w:hAnsi="Arial" w:cs="Arial"/>
                <w:sz w:val="22"/>
                <w:szCs w:val="22"/>
              </w:rPr>
            </w:pPr>
            <w:r w:rsidRPr="0029362F">
              <w:rPr>
                <w:rFonts w:ascii="Arial" w:hAnsi="Arial" w:cs="Arial"/>
                <w:sz w:val="22"/>
                <w:szCs w:val="22"/>
              </w:rPr>
              <w:t>Appendix IV  Sample Protocols for Human and Animal Experimentation</w:t>
            </w:r>
          </w:p>
          <w:p w14:paraId="19ED8168" w14:textId="77777777" w:rsidR="00DF1B91" w:rsidRPr="0029362F" w:rsidRDefault="00DF1B91" w:rsidP="0029362F">
            <w:pPr>
              <w:rPr>
                <w:rFonts w:ascii="Arial" w:hAnsi="Arial" w:cs="Arial"/>
                <w:sz w:val="22"/>
                <w:szCs w:val="22"/>
              </w:rPr>
            </w:pPr>
            <w:r w:rsidRPr="0029362F">
              <w:rPr>
                <w:rFonts w:ascii="Arial" w:hAnsi="Arial" w:cs="Arial"/>
                <w:sz w:val="22"/>
                <w:szCs w:val="22"/>
              </w:rPr>
              <w:t xml:space="preserve">Appendix VII </w:t>
            </w:r>
            <w:r w:rsidR="00FA3C71" w:rsidRPr="0029362F">
              <w:rPr>
                <w:rFonts w:ascii="Arial" w:hAnsi="Arial" w:cs="Arial"/>
                <w:sz w:val="22"/>
                <w:szCs w:val="22"/>
              </w:rPr>
              <w:t xml:space="preserve"> </w:t>
            </w:r>
            <w:r w:rsidRPr="0029362F">
              <w:rPr>
                <w:rFonts w:ascii="Arial" w:hAnsi="Arial" w:cs="Arial"/>
                <w:sz w:val="22"/>
                <w:szCs w:val="22"/>
              </w:rPr>
              <w:t>Safe Laboratory Practices Resources</w:t>
            </w:r>
          </w:p>
        </w:tc>
      </w:tr>
      <w:tr w:rsidR="00CA642E" w14:paraId="3D9881FD" w14:textId="77777777" w:rsidTr="00F02D0B">
        <w:tc>
          <w:tcPr>
            <w:tcW w:w="4870" w:type="dxa"/>
          </w:tcPr>
          <w:p w14:paraId="1A4F1F20" w14:textId="77777777" w:rsidR="00CA642E" w:rsidRPr="0029362F" w:rsidRDefault="00CA642E" w:rsidP="0029362F">
            <w:pPr>
              <w:widowControl/>
              <w:shd w:val="clear" w:color="auto" w:fill="FFFFFF"/>
              <w:snapToGrid/>
              <w:spacing w:before="100" w:beforeAutospacing="1" w:after="100" w:afterAutospacing="1" w:line="255" w:lineRule="atLeast"/>
              <w:rPr>
                <w:rFonts w:ascii="Arial" w:hAnsi="Arial" w:cs="Arial"/>
                <w:sz w:val="22"/>
                <w:szCs w:val="22"/>
              </w:rPr>
            </w:pPr>
            <w:r w:rsidRPr="0029362F">
              <w:rPr>
                <w:rFonts w:ascii="Arial" w:hAnsi="Arial" w:cs="Arial"/>
                <w:color w:val="000000"/>
                <w:spacing w:val="3"/>
                <w:sz w:val="22"/>
                <w:szCs w:val="22"/>
              </w:rPr>
              <w:lastRenderedPageBreak/>
              <w:t>mentor/mentee responsibilities and relationships</w:t>
            </w:r>
          </w:p>
        </w:tc>
        <w:tc>
          <w:tcPr>
            <w:tcW w:w="4850" w:type="dxa"/>
          </w:tcPr>
          <w:p w14:paraId="6869CADD" w14:textId="77777777" w:rsidR="00CA642E" w:rsidRPr="0029362F" w:rsidRDefault="00FA3C71" w:rsidP="0029362F">
            <w:pPr>
              <w:rPr>
                <w:rFonts w:ascii="Arial" w:hAnsi="Arial" w:cs="Arial"/>
                <w:sz w:val="22"/>
                <w:szCs w:val="22"/>
              </w:rPr>
            </w:pPr>
            <w:r w:rsidRPr="0029362F">
              <w:rPr>
                <w:rFonts w:ascii="Arial" w:hAnsi="Arial" w:cs="Arial"/>
                <w:sz w:val="22"/>
                <w:szCs w:val="22"/>
              </w:rPr>
              <w:t>Chapter 3  Mentoring</w:t>
            </w:r>
          </w:p>
        </w:tc>
      </w:tr>
      <w:tr w:rsidR="00CA642E" w14:paraId="3386AA19" w14:textId="77777777" w:rsidTr="00F02D0B">
        <w:tc>
          <w:tcPr>
            <w:tcW w:w="4870" w:type="dxa"/>
          </w:tcPr>
          <w:p w14:paraId="1EBF8A7F" w14:textId="77777777" w:rsidR="00CA642E" w:rsidRPr="0029362F" w:rsidRDefault="00CA642E" w:rsidP="0029362F">
            <w:pPr>
              <w:widowControl/>
              <w:shd w:val="clear" w:color="auto" w:fill="FFFFFF"/>
              <w:snapToGrid/>
              <w:spacing w:before="100" w:beforeAutospacing="1" w:after="100" w:afterAutospacing="1" w:line="255" w:lineRule="atLeast"/>
              <w:rPr>
                <w:rFonts w:ascii="Arial" w:hAnsi="Arial" w:cs="Arial"/>
                <w:sz w:val="22"/>
                <w:szCs w:val="22"/>
              </w:rPr>
            </w:pPr>
            <w:r w:rsidRPr="0029362F">
              <w:rPr>
                <w:rFonts w:ascii="Arial" w:hAnsi="Arial" w:cs="Arial"/>
                <w:color w:val="000000"/>
                <w:spacing w:val="3"/>
                <w:sz w:val="22"/>
                <w:szCs w:val="22"/>
              </w:rPr>
              <w:t>collaborative research including collaborations with industry</w:t>
            </w:r>
          </w:p>
        </w:tc>
        <w:tc>
          <w:tcPr>
            <w:tcW w:w="4850" w:type="dxa"/>
          </w:tcPr>
          <w:p w14:paraId="3530FDD5" w14:textId="77777777" w:rsidR="00CA642E" w:rsidRPr="0029362F" w:rsidRDefault="00FA3C71" w:rsidP="0029362F">
            <w:pPr>
              <w:rPr>
                <w:rFonts w:ascii="Arial" w:hAnsi="Arial" w:cs="Arial"/>
                <w:sz w:val="22"/>
                <w:szCs w:val="22"/>
              </w:rPr>
            </w:pPr>
            <w:r w:rsidRPr="0029362F">
              <w:rPr>
                <w:rFonts w:ascii="Arial" w:hAnsi="Arial" w:cs="Arial"/>
                <w:sz w:val="22"/>
                <w:szCs w:val="22"/>
              </w:rPr>
              <w:t>Chapter 8   Collaborative Research</w:t>
            </w:r>
          </w:p>
        </w:tc>
      </w:tr>
      <w:tr w:rsidR="00CA642E" w14:paraId="12AD278B" w14:textId="77777777" w:rsidTr="00F02D0B">
        <w:tc>
          <w:tcPr>
            <w:tcW w:w="4870" w:type="dxa"/>
          </w:tcPr>
          <w:p w14:paraId="50385321" w14:textId="77777777" w:rsidR="00CA642E" w:rsidRPr="0029362F" w:rsidRDefault="00CA642E" w:rsidP="0029362F">
            <w:pPr>
              <w:widowControl/>
              <w:shd w:val="clear" w:color="auto" w:fill="FFFFFF"/>
              <w:snapToGrid/>
              <w:spacing w:before="100" w:beforeAutospacing="1" w:after="100" w:afterAutospacing="1" w:line="255" w:lineRule="atLeast"/>
              <w:rPr>
                <w:rFonts w:ascii="Arial" w:hAnsi="Arial" w:cs="Arial"/>
                <w:sz w:val="22"/>
                <w:szCs w:val="22"/>
              </w:rPr>
            </w:pPr>
            <w:r w:rsidRPr="0029362F">
              <w:rPr>
                <w:rFonts w:ascii="Arial" w:hAnsi="Arial" w:cs="Arial"/>
                <w:color w:val="000000"/>
                <w:spacing w:val="3"/>
                <w:sz w:val="22"/>
                <w:szCs w:val="22"/>
              </w:rPr>
              <w:t>peer review</w:t>
            </w:r>
          </w:p>
        </w:tc>
        <w:tc>
          <w:tcPr>
            <w:tcW w:w="4850" w:type="dxa"/>
          </w:tcPr>
          <w:p w14:paraId="1BD9EEDC" w14:textId="77777777" w:rsidR="00CA642E" w:rsidRPr="0029362F" w:rsidRDefault="00FA3C71" w:rsidP="0029362F">
            <w:pPr>
              <w:rPr>
                <w:rFonts w:ascii="Arial" w:hAnsi="Arial" w:cs="Arial"/>
                <w:sz w:val="22"/>
                <w:szCs w:val="22"/>
              </w:rPr>
            </w:pPr>
            <w:r w:rsidRPr="0029362F">
              <w:rPr>
                <w:rFonts w:ascii="Arial" w:hAnsi="Arial" w:cs="Arial"/>
                <w:sz w:val="22"/>
                <w:szCs w:val="22"/>
              </w:rPr>
              <w:t>Chapter 4 Authorship and Peer Review</w:t>
            </w:r>
          </w:p>
        </w:tc>
      </w:tr>
      <w:tr w:rsidR="00CA642E" w14:paraId="3881B7DF" w14:textId="77777777" w:rsidTr="00F02D0B">
        <w:tc>
          <w:tcPr>
            <w:tcW w:w="4870" w:type="dxa"/>
          </w:tcPr>
          <w:p w14:paraId="17D2CD20" w14:textId="77777777" w:rsidR="00CA642E" w:rsidRPr="0029362F" w:rsidRDefault="00CA642E" w:rsidP="0029362F">
            <w:pPr>
              <w:widowControl/>
              <w:shd w:val="clear" w:color="auto" w:fill="FFFFFF"/>
              <w:snapToGrid/>
              <w:spacing w:before="100" w:beforeAutospacing="1" w:after="100" w:afterAutospacing="1" w:line="255" w:lineRule="atLeast"/>
              <w:rPr>
                <w:rFonts w:ascii="Arial" w:hAnsi="Arial" w:cs="Arial"/>
                <w:sz w:val="22"/>
                <w:szCs w:val="22"/>
              </w:rPr>
            </w:pPr>
            <w:r w:rsidRPr="0029362F">
              <w:rPr>
                <w:rFonts w:ascii="Arial" w:hAnsi="Arial" w:cs="Arial"/>
                <w:color w:val="000000"/>
                <w:spacing w:val="3"/>
                <w:sz w:val="22"/>
                <w:szCs w:val="22"/>
              </w:rPr>
              <w:t>data acquisition and laboratory tools; management, sharing and ownership</w:t>
            </w:r>
          </w:p>
        </w:tc>
        <w:tc>
          <w:tcPr>
            <w:tcW w:w="4850" w:type="dxa"/>
          </w:tcPr>
          <w:p w14:paraId="0D13FEFF" w14:textId="77777777" w:rsidR="00CA642E" w:rsidRPr="0029362F" w:rsidRDefault="0054469E" w:rsidP="0029362F">
            <w:pPr>
              <w:rPr>
                <w:rFonts w:ascii="Arial" w:hAnsi="Arial" w:cs="Arial"/>
                <w:sz w:val="22"/>
                <w:szCs w:val="22"/>
              </w:rPr>
            </w:pPr>
            <w:r w:rsidRPr="0029362F">
              <w:rPr>
                <w:rFonts w:ascii="Arial" w:hAnsi="Arial" w:cs="Arial"/>
                <w:sz w:val="22"/>
                <w:szCs w:val="22"/>
              </w:rPr>
              <w:t>Chapter 9   Research Data and Intellectual Property</w:t>
            </w:r>
          </w:p>
          <w:p w14:paraId="532A4338" w14:textId="77777777" w:rsidR="0054469E" w:rsidRPr="0029362F" w:rsidRDefault="0054469E" w:rsidP="0029362F">
            <w:pPr>
              <w:rPr>
                <w:rFonts w:ascii="Arial" w:hAnsi="Arial" w:cs="Arial"/>
                <w:sz w:val="22"/>
                <w:szCs w:val="22"/>
              </w:rPr>
            </w:pPr>
            <w:r w:rsidRPr="0029362F">
              <w:rPr>
                <w:rFonts w:ascii="Arial" w:hAnsi="Arial" w:cs="Arial"/>
                <w:sz w:val="22"/>
                <w:szCs w:val="22"/>
              </w:rPr>
              <w:t>Chapter 10 Scientific Record Keeping</w:t>
            </w:r>
          </w:p>
          <w:p w14:paraId="1761993B" w14:textId="77777777" w:rsidR="0054469E" w:rsidRPr="0029362F" w:rsidRDefault="0054469E" w:rsidP="0029362F">
            <w:pPr>
              <w:rPr>
                <w:rFonts w:ascii="Arial" w:hAnsi="Arial" w:cs="Arial"/>
                <w:sz w:val="22"/>
                <w:szCs w:val="22"/>
              </w:rPr>
            </w:pPr>
            <w:r w:rsidRPr="0029362F">
              <w:rPr>
                <w:rFonts w:ascii="Arial" w:hAnsi="Arial" w:cs="Arial"/>
                <w:sz w:val="22"/>
                <w:szCs w:val="22"/>
              </w:rPr>
              <w:t xml:space="preserve">Appendix V  Example of </w:t>
            </w:r>
            <w:proofErr w:type="spellStart"/>
            <w:r w:rsidRPr="0029362F">
              <w:rPr>
                <w:rFonts w:ascii="Arial" w:hAnsi="Arial" w:cs="Arial"/>
                <w:sz w:val="22"/>
                <w:szCs w:val="22"/>
              </w:rPr>
              <w:t>of</w:t>
            </w:r>
            <w:proofErr w:type="spellEnd"/>
            <w:r w:rsidRPr="0029362F">
              <w:rPr>
                <w:rFonts w:ascii="Arial" w:hAnsi="Arial" w:cs="Arial"/>
                <w:sz w:val="22"/>
                <w:szCs w:val="22"/>
              </w:rPr>
              <w:t xml:space="preserve"> U.S. Patent Specification</w:t>
            </w:r>
          </w:p>
          <w:p w14:paraId="164036C4" w14:textId="77777777" w:rsidR="0054469E" w:rsidRPr="0029362F" w:rsidRDefault="0054469E" w:rsidP="0029362F">
            <w:pPr>
              <w:rPr>
                <w:rFonts w:ascii="Arial" w:hAnsi="Arial" w:cs="Arial"/>
                <w:sz w:val="22"/>
                <w:szCs w:val="22"/>
              </w:rPr>
            </w:pPr>
            <w:r w:rsidRPr="0029362F">
              <w:rPr>
                <w:rFonts w:ascii="Arial" w:hAnsi="Arial" w:cs="Arial"/>
                <w:sz w:val="22"/>
                <w:szCs w:val="22"/>
              </w:rPr>
              <w:t>Appendix VI   Laboratory Notebook Instructions</w:t>
            </w:r>
          </w:p>
        </w:tc>
      </w:tr>
      <w:tr w:rsidR="00CA642E" w14:paraId="55C9651C" w14:textId="77777777" w:rsidTr="00F02D0B">
        <w:tc>
          <w:tcPr>
            <w:tcW w:w="4870" w:type="dxa"/>
          </w:tcPr>
          <w:p w14:paraId="6377C877" w14:textId="77777777" w:rsidR="00CA642E" w:rsidRPr="0029362F" w:rsidRDefault="00CA642E" w:rsidP="0029362F">
            <w:pPr>
              <w:widowControl/>
              <w:shd w:val="clear" w:color="auto" w:fill="FFFFFF"/>
              <w:snapToGrid/>
              <w:spacing w:before="100" w:beforeAutospacing="1" w:after="100" w:afterAutospacing="1" w:line="255" w:lineRule="atLeast"/>
              <w:rPr>
                <w:rFonts w:ascii="Arial" w:hAnsi="Arial" w:cs="Arial"/>
                <w:color w:val="000000"/>
                <w:spacing w:val="3"/>
                <w:sz w:val="22"/>
                <w:szCs w:val="22"/>
              </w:rPr>
            </w:pPr>
            <w:r w:rsidRPr="0029362F">
              <w:rPr>
                <w:rFonts w:ascii="Arial" w:hAnsi="Arial" w:cs="Arial"/>
                <w:color w:val="000000"/>
                <w:spacing w:val="3"/>
                <w:sz w:val="22"/>
                <w:szCs w:val="22"/>
              </w:rPr>
              <w:t>research misconduct and policies for handling misconduct</w:t>
            </w:r>
          </w:p>
        </w:tc>
        <w:tc>
          <w:tcPr>
            <w:tcW w:w="4850" w:type="dxa"/>
          </w:tcPr>
          <w:p w14:paraId="05527100" w14:textId="77777777" w:rsidR="00CA642E" w:rsidRPr="0029362F" w:rsidRDefault="0054469E" w:rsidP="0029362F">
            <w:pPr>
              <w:rPr>
                <w:rFonts w:ascii="Arial" w:hAnsi="Arial" w:cs="Arial"/>
                <w:sz w:val="22"/>
                <w:szCs w:val="22"/>
              </w:rPr>
            </w:pPr>
            <w:r w:rsidRPr="0029362F">
              <w:rPr>
                <w:rFonts w:ascii="Arial" w:hAnsi="Arial" w:cs="Arial"/>
                <w:sz w:val="22"/>
                <w:szCs w:val="22"/>
              </w:rPr>
              <w:t>Chapter 1  Methods, Manners, and the Responsible Conduct of Research</w:t>
            </w:r>
          </w:p>
          <w:p w14:paraId="46C5B277" w14:textId="77777777" w:rsidR="0054469E" w:rsidRPr="0029362F" w:rsidRDefault="0054469E" w:rsidP="0029362F">
            <w:pPr>
              <w:rPr>
                <w:rFonts w:ascii="Arial" w:hAnsi="Arial" w:cs="Arial"/>
                <w:sz w:val="22"/>
                <w:szCs w:val="22"/>
              </w:rPr>
            </w:pPr>
            <w:r w:rsidRPr="0029362F">
              <w:rPr>
                <w:rFonts w:ascii="Arial" w:hAnsi="Arial" w:cs="Arial"/>
                <w:sz w:val="22"/>
                <w:szCs w:val="22"/>
              </w:rPr>
              <w:t>Chapter 2   Ethics and the Scientist</w:t>
            </w:r>
          </w:p>
          <w:p w14:paraId="295C522E" w14:textId="77777777" w:rsidR="0054469E" w:rsidRPr="0029362F" w:rsidRDefault="0054469E" w:rsidP="0029362F">
            <w:pPr>
              <w:rPr>
                <w:rFonts w:ascii="Arial" w:hAnsi="Arial" w:cs="Arial"/>
                <w:sz w:val="22"/>
                <w:szCs w:val="22"/>
              </w:rPr>
            </w:pPr>
            <w:r w:rsidRPr="0029362F">
              <w:rPr>
                <w:rFonts w:ascii="Arial" w:hAnsi="Arial" w:cs="Arial"/>
                <w:sz w:val="22"/>
                <w:szCs w:val="22"/>
              </w:rPr>
              <w:t>Appendix III  Standards of Conduct</w:t>
            </w:r>
          </w:p>
        </w:tc>
      </w:tr>
      <w:tr w:rsidR="00CA642E" w14:paraId="0601DE73" w14:textId="77777777" w:rsidTr="00F02D0B">
        <w:tc>
          <w:tcPr>
            <w:tcW w:w="4870" w:type="dxa"/>
          </w:tcPr>
          <w:p w14:paraId="2A38B811" w14:textId="77777777" w:rsidR="00CA642E" w:rsidRPr="0029362F" w:rsidRDefault="00CA642E" w:rsidP="0029362F">
            <w:pPr>
              <w:widowControl/>
              <w:shd w:val="clear" w:color="auto" w:fill="FFFFFF"/>
              <w:snapToGrid/>
              <w:spacing w:before="100" w:beforeAutospacing="1" w:after="100" w:afterAutospacing="1" w:line="255" w:lineRule="atLeast"/>
              <w:rPr>
                <w:rFonts w:ascii="Arial" w:hAnsi="Arial" w:cs="Arial"/>
                <w:sz w:val="22"/>
                <w:szCs w:val="22"/>
              </w:rPr>
            </w:pPr>
            <w:r w:rsidRPr="0029362F">
              <w:rPr>
                <w:rFonts w:ascii="Arial" w:hAnsi="Arial" w:cs="Arial"/>
                <w:color w:val="000000"/>
                <w:spacing w:val="3"/>
                <w:sz w:val="22"/>
                <w:szCs w:val="22"/>
              </w:rPr>
              <w:t>responsible authorship and publication</w:t>
            </w:r>
          </w:p>
        </w:tc>
        <w:tc>
          <w:tcPr>
            <w:tcW w:w="4850" w:type="dxa"/>
          </w:tcPr>
          <w:p w14:paraId="5CFA364C" w14:textId="77777777" w:rsidR="00CA642E" w:rsidRPr="0029362F" w:rsidRDefault="00FA3C71" w:rsidP="0029362F">
            <w:pPr>
              <w:rPr>
                <w:rFonts w:ascii="Arial" w:hAnsi="Arial" w:cs="Arial"/>
                <w:sz w:val="22"/>
                <w:szCs w:val="22"/>
              </w:rPr>
            </w:pPr>
            <w:r w:rsidRPr="0029362F">
              <w:rPr>
                <w:rFonts w:ascii="Arial" w:hAnsi="Arial" w:cs="Arial"/>
                <w:sz w:val="22"/>
                <w:szCs w:val="22"/>
              </w:rPr>
              <w:t>Chapter 4 Authorship and Peer Review</w:t>
            </w:r>
          </w:p>
        </w:tc>
      </w:tr>
      <w:tr w:rsidR="00CA642E" w14:paraId="2F5DE4F5" w14:textId="77777777" w:rsidTr="00F02D0B">
        <w:tc>
          <w:tcPr>
            <w:tcW w:w="4870" w:type="dxa"/>
          </w:tcPr>
          <w:p w14:paraId="10BF9748" w14:textId="77777777" w:rsidR="00CA642E" w:rsidRPr="0029362F" w:rsidRDefault="00CA642E" w:rsidP="0029362F">
            <w:pPr>
              <w:widowControl/>
              <w:shd w:val="clear" w:color="auto" w:fill="FFFFFF"/>
              <w:snapToGrid/>
              <w:spacing w:before="100" w:beforeAutospacing="1" w:after="100" w:afterAutospacing="1" w:line="255" w:lineRule="atLeast"/>
              <w:rPr>
                <w:rFonts w:ascii="Arial" w:hAnsi="Arial" w:cs="Arial"/>
                <w:sz w:val="22"/>
                <w:szCs w:val="22"/>
              </w:rPr>
            </w:pPr>
            <w:r w:rsidRPr="0029362F">
              <w:rPr>
                <w:rFonts w:ascii="Arial" w:hAnsi="Arial" w:cs="Arial"/>
                <w:color w:val="000000"/>
                <w:spacing w:val="3"/>
                <w:sz w:val="22"/>
                <w:szCs w:val="22"/>
              </w:rPr>
              <w:t>the scientist as a responsible member of society, contemporary ethical issues in biomedical research, and the environmental and societal impacts of scientific research</w:t>
            </w:r>
          </w:p>
        </w:tc>
        <w:tc>
          <w:tcPr>
            <w:tcW w:w="4850" w:type="dxa"/>
          </w:tcPr>
          <w:p w14:paraId="211B4CCC" w14:textId="77777777" w:rsidR="00CA642E" w:rsidRPr="0029362F" w:rsidRDefault="0054469E" w:rsidP="0029362F">
            <w:pPr>
              <w:rPr>
                <w:rFonts w:ascii="Arial" w:hAnsi="Arial" w:cs="Arial"/>
                <w:sz w:val="22"/>
                <w:szCs w:val="22"/>
              </w:rPr>
            </w:pPr>
            <w:r w:rsidRPr="0029362F">
              <w:rPr>
                <w:rFonts w:ascii="Arial" w:hAnsi="Arial" w:cs="Arial"/>
                <w:sz w:val="22"/>
                <w:szCs w:val="22"/>
              </w:rPr>
              <w:t>Chapter 11   Science, Technology and Society</w:t>
            </w:r>
          </w:p>
        </w:tc>
      </w:tr>
    </w:tbl>
    <w:p w14:paraId="756106B9" w14:textId="77777777" w:rsidR="00B73AE1" w:rsidRDefault="00B73AE1" w:rsidP="0029362F">
      <w:pPr>
        <w:rPr>
          <w:rFonts w:ascii="Arial" w:hAnsi="Arial" w:cs="Arial"/>
          <w:sz w:val="22"/>
          <w:szCs w:val="22"/>
        </w:rPr>
      </w:pPr>
    </w:p>
    <w:p w14:paraId="5F2220BC" w14:textId="4AA768CB" w:rsidR="00FD112B" w:rsidRPr="00C50224" w:rsidRDefault="00B549F3" w:rsidP="0029362F">
      <w:pPr>
        <w:rPr>
          <w:rFonts w:ascii="Arial" w:hAnsi="Arial" w:cs="Arial"/>
          <w:sz w:val="22"/>
          <w:szCs w:val="22"/>
        </w:rPr>
      </w:pPr>
      <w:r>
        <w:rPr>
          <w:rFonts w:ascii="Arial" w:hAnsi="Arial" w:cs="Arial"/>
          <w:sz w:val="22"/>
          <w:szCs w:val="22"/>
        </w:rPr>
        <w:t xml:space="preserve">In addition to the above chapters, readings from other resources include </w:t>
      </w:r>
      <w:r w:rsidR="00895B0C">
        <w:rPr>
          <w:rFonts w:ascii="Arial" w:hAnsi="Arial" w:cs="Arial"/>
          <w:sz w:val="22"/>
          <w:szCs w:val="22"/>
        </w:rPr>
        <w:t xml:space="preserve">the 2017 report on Fostering Scientific Integrity by the </w:t>
      </w:r>
      <w:r>
        <w:rPr>
          <w:rFonts w:ascii="Arial" w:hAnsi="Arial" w:cs="Arial"/>
          <w:sz w:val="22"/>
          <w:szCs w:val="22"/>
        </w:rPr>
        <w:t>National Academy of Science</w:t>
      </w:r>
      <w:r w:rsidR="00895B0C">
        <w:rPr>
          <w:rFonts w:ascii="Arial" w:hAnsi="Arial" w:cs="Arial"/>
          <w:sz w:val="22"/>
          <w:szCs w:val="22"/>
        </w:rPr>
        <w:t>s</w:t>
      </w:r>
      <w:r>
        <w:rPr>
          <w:rFonts w:ascii="Arial" w:hAnsi="Arial" w:cs="Arial"/>
          <w:sz w:val="22"/>
          <w:szCs w:val="22"/>
        </w:rPr>
        <w:t xml:space="preserve">, Engineering, and Medicine, </w:t>
      </w:r>
      <w:r w:rsidR="00895B0C">
        <w:rPr>
          <w:rFonts w:ascii="Arial" w:hAnsi="Arial" w:cs="Arial"/>
          <w:sz w:val="22"/>
          <w:szCs w:val="22"/>
        </w:rPr>
        <w:t xml:space="preserve">interactive videos from the DHHS Office of Research Integrity </w:t>
      </w:r>
      <w:r>
        <w:rPr>
          <w:rFonts w:ascii="Arial" w:hAnsi="Arial" w:cs="Arial"/>
          <w:sz w:val="22"/>
          <w:szCs w:val="22"/>
        </w:rPr>
        <w:t xml:space="preserve">as well as </w:t>
      </w:r>
      <w:r w:rsidR="00895B0C">
        <w:rPr>
          <w:rFonts w:ascii="Arial" w:hAnsi="Arial" w:cs="Arial"/>
          <w:sz w:val="22"/>
          <w:szCs w:val="22"/>
        </w:rPr>
        <w:t xml:space="preserve">topically relevant </w:t>
      </w:r>
      <w:r w:rsidR="00CF074B">
        <w:rPr>
          <w:rFonts w:ascii="Arial" w:hAnsi="Arial" w:cs="Arial"/>
          <w:sz w:val="22"/>
          <w:szCs w:val="22"/>
        </w:rPr>
        <w:t>published</w:t>
      </w:r>
      <w:r w:rsidR="00895B0C">
        <w:rPr>
          <w:rFonts w:ascii="Arial" w:hAnsi="Arial" w:cs="Arial"/>
          <w:sz w:val="22"/>
          <w:szCs w:val="22"/>
        </w:rPr>
        <w:t xml:space="preserve"> papers and media articles.  </w:t>
      </w:r>
      <w:r w:rsidR="0029362F">
        <w:rPr>
          <w:rFonts w:ascii="Arial" w:hAnsi="Arial" w:cs="Arial"/>
          <w:sz w:val="22"/>
          <w:szCs w:val="22"/>
        </w:rPr>
        <w:t xml:space="preserve">Each of the </w:t>
      </w:r>
      <w:r w:rsidR="00DC0803">
        <w:rPr>
          <w:rFonts w:ascii="Arial" w:hAnsi="Arial" w:cs="Arial"/>
          <w:sz w:val="22"/>
          <w:szCs w:val="22"/>
        </w:rPr>
        <w:t xml:space="preserve">VCU </w:t>
      </w:r>
      <w:r w:rsidR="0029362F">
        <w:rPr>
          <w:rFonts w:ascii="Arial" w:hAnsi="Arial" w:cs="Arial"/>
          <w:sz w:val="22"/>
          <w:szCs w:val="22"/>
        </w:rPr>
        <w:t>RCR courses are</w:t>
      </w:r>
      <w:r w:rsidR="003E04CA">
        <w:rPr>
          <w:rFonts w:ascii="Arial" w:hAnsi="Arial" w:cs="Arial"/>
          <w:sz w:val="22"/>
          <w:szCs w:val="22"/>
        </w:rPr>
        <w:t xml:space="preserve"> catalogue-lis</w:t>
      </w:r>
      <w:r w:rsidR="009C2FE1">
        <w:rPr>
          <w:rFonts w:ascii="Arial" w:hAnsi="Arial" w:cs="Arial"/>
          <w:sz w:val="22"/>
          <w:szCs w:val="22"/>
        </w:rPr>
        <w:t xml:space="preserve">ted </w:t>
      </w:r>
      <w:r w:rsidR="0029362F">
        <w:rPr>
          <w:rFonts w:ascii="Arial" w:hAnsi="Arial" w:cs="Arial"/>
          <w:sz w:val="22"/>
          <w:szCs w:val="22"/>
        </w:rPr>
        <w:t>and</w:t>
      </w:r>
      <w:r w:rsidR="009C2FE1">
        <w:rPr>
          <w:rFonts w:ascii="Arial" w:hAnsi="Arial" w:cs="Arial"/>
          <w:sz w:val="22"/>
          <w:szCs w:val="22"/>
        </w:rPr>
        <w:t xml:space="preserve"> carr</w:t>
      </w:r>
      <w:r w:rsidR="008570B1">
        <w:rPr>
          <w:rFonts w:ascii="Arial" w:hAnsi="Arial" w:cs="Arial"/>
          <w:sz w:val="22"/>
          <w:szCs w:val="22"/>
        </w:rPr>
        <w:t>y</w:t>
      </w:r>
      <w:r w:rsidR="00287E1F">
        <w:rPr>
          <w:rFonts w:ascii="Arial" w:hAnsi="Arial" w:cs="Arial"/>
          <w:sz w:val="22"/>
          <w:szCs w:val="22"/>
        </w:rPr>
        <w:t xml:space="preserve"> </w:t>
      </w:r>
      <w:r w:rsidR="009C2FE1">
        <w:rPr>
          <w:rFonts w:ascii="Arial" w:hAnsi="Arial" w:cs="Arial"/>
          <w:sz w:val="22"/>
          <w:szCs w:val="22"/>
        </w:rPr>
        <w:t>1</w:t>
      </w:r>
      <w:r w:rsidR="003E04CA">
        <w:rPr>
          <w:rFonts w:ascii="Arial" w:hAnsi="Arial" w:cs="Arial"/>
          <w:sz w:val="22"/>
          <w:szCs w:val="22"/>
        </w:rPr>
        <w:t xml:space="preserve"> hour of academic credit</w:t>
      </w:r>
      <w:r w:rsidR="00451696">
        <w:rPr>
          <w:rFonts w:ascii="Arial" w:hAnsi="Arial" w:cs="Arial"/>
          <w:sz w:val="22"/>
          <w:szCs w:val="22"/>
        </w:rPr>
        <w:t>, involv</w:t>
      </w:r>
      <w:r w:rsidR="00DC0803">
        <w:rPr>
          <w:rFonts w:ascii="Arial" w:hAnsi="Arial" w:cs="Arial"/>
          <w:sz w:val="22"/>
          <w:szCs w:val="22"/>
        </w:rPr>
        <w:t>ing</w:t>
      </w:r>
      <w:r w:rsidR="00451696">
        <w:rPr>
          <w:rFonts w:ascii="Arial" w:hAnsi="Arial" w:cs="Arial"/>
          <w:sz w:val="22"/>
          <w:szCs w:val="22"/>
        </w:rPr>
        <w:t xml:space="preserve"> </w:t>
      </w:r>
      <w:r w:rsidR="00652024">
        <w:rPr>
          <w:rFonts w:ascii="Arial" w:hAnsi="Arial" w:cs="Arial"/>
          <w:sz w:val="22"/>
          <w:szCs w:val="22"/>
        </w:rPr>
        <w:t xml:space="preserve">at least </w:t>
      </w:r>
      <w:r w:rsidR="00FC2D10">
        <w:rPr>
          <w:rFonts w:ascii="Arial" w:hAnsi="Arial" w:cs="Arial"/>
          <w:sz w:val="22"/>
          <w:szCs w:val="22"/>
        </w:rPr>
        <w:t xml:space="preserve">8 </w:t>
      </w:r>
      <w:r w:rsidR="00451696">
        <w:rPr>
          <w:rFonts w:ascii="Arial" w:hAnsi="Arial" w:cs="Arial"/>
          <w:sz w:val="22"/>
          <w:szCs w:val="22"/>
        </w:rPr>
        <w:t xml:space="preserve">in-class contact hours.  </w:t>
      </w:r>
      <w:r w:rsidR="00D95F2C">
        <w:rPr>
          <w:rFonts w:ascii="Arial" w:hAnsi="Arial" w:cs="Arial"/>
          <w:sz w:val="22"/>
          <w:szCs w:val="22"/>
        </w:rPr>
        <w:t>A</w:t>
      </w:r>
      <w:r w:rsidR="00826B96">
        <w:rPr>
          <w:rFonts w:ascii="Arial" w:hAnsi="Arial" w:cs="Arial"/>
          <w:sz w:val="22"/>
          <w:szCs w:val="22"/>
        </w:rPr>
        <w:t xml:space="preserve">ll </w:t>
      </w:r>
      <w:r w:rsidR="00C56090">
        <w:rPr>
          <w:rFonts w:ascii="Arial" w:hAnsi="Arial" w:cs="Arial"/>
          <w:sz w:val="22"/>
          <w:szCs w:val="22"/>
        </w:rPr>
        <w:t xml:space="preserve">are </w:t>
      </w:r>
      <w:r w:rsidR="00826B96">
        <w:rPr>
          <w:rFonts w:ascii="Arial" w:hAnsi="Arial" w:cs="Arial"/>
          <w:sz w:val="22"/>
          <w:szCs w:val="22"/>
        </w:rPr>
        <w:t>appr</w:t>
      </w:r>
      <w:r w:rsidR="00287E1F">
        <w:rPr>
          <w:rFonts w:ascii="Arial" w:hAnsi="Arial" w:cs="Arial"/>
          <w:sz w:val="22"/>
          <w:szCs w:val="22"/>
        </w:rPr>
        <w:t>oved by the VCU Graduate School</w:t>
      </w:r>
      <w:r w:rsidR="00451696">
        <w:rPr>
          <w:rFonts w:ascii="Arial" w:hAnsi="Arial" w:cs="Arial"/>
          <w:sz w:val="22"/>
          <w:szCs w:val="22"/>
        </w:rPr>
        <w:t xml:space="preserve"> and comply with the operational requirements of the Office of the Provost as official university course</w:t>
      </w:r>
      <w:r w:rsidR="00DC0803">
        <w:rPr>
          <w:rFonts w:ascii="Arial" w:hAnsi="Arial" w:cs="Arial"/>
          <w:sz w:val="22"/>
          <w:szCs w:val="22"/>
        </w:rPr>
        <w:t>s</w:t>
      </w:r>
      <w:r w:rsidR="00451696">
        <w:rPr>
          <w:rFonts w:ascii="Arial" w:hAnsi="Arial" w:cs="Arial"/>
          <w:sz w:val="22"/>
          <w:szCs w:val="22"/>
        </w:rPr>
        <w:t>.</w:t>
      </w:r>
      <w:r w:rsidR="006D0E29">
        <w:rPr>
          <w:rFonts w:ascii="Arial" w:hAnsi="Arial" w:cs="Arial"/>
          <w:sz w:val="22"/>
          <w:szCs w:val="22"/>
        </w:rPr>
        <w:t xml:space="preserve">  Students come from a variety of disciplinary concentrations</w:t>
      </w:r>
      <w:r w:rsidR="00652024">
        <w:rPr>
          <w:rFonts w:ascii="Arial" w:hAnsi="Arial" w:cs="Arial"/>
          <w:sz w:val="22"/>
          <w:szCs w:val="22"/>
        </w:rPr>
        <w:t xml:space="preserve"> and academic levels</w:t>
      </w:r>
      <w:r w:rsidR="006D0E29">
        <w:rPr>
          <w:rFonts w:ascii="Arial" w:hAnsi="Arial" w:cs="Arial"/>
          <w:sz w:val="22"/>
          <w:szCs w:val="22"/>
        </w:rPr>
        <w:t xml:space="preserve">.  Plenary presentations as well as cases for discussion or written response address biomedical, social and behavioral and other basic science disciplines.   </w:t>
      </w:r>
    </w:p>
    <w:p w14:paraId="54877008" w14:textId="77777777" w:rsidR="00DE2C51" w:rsidRDefault="00DE2C51" w:rsidP="0029362F">
      <w:pPr>
        <w:rPr>
          <w:rStyle w:val="SubtleEmphasis"/>
          <w:rFonts w:ascii="Arial" w:hAnsi="Arial" w:cs="Arial"/>
          <w:i w:val="0"/>
          <w:iCs w:val="0"/>
          <w:color w:val="auto"/>
          <w:sz w:val="22"/>
          <w:szCs w:val="22"/>
        </w:rPr>
      </w:pPr>
    </w:p>
    <w:p w14:paraId="5417BAC9" w14:textId="50D7A110" w:rsidR="00895B0C" w:rsidRPr="00ED5C5C" w:rsidRDefault="00895B0C" w:rsidP="00895B0C">
      <w:pPr>
        <w:rPr>
          <w:rStyle w:val="SubtleEmphasis"/>
          <w:rFonts w:ascii="Arial" w:hAnsi="Arial" w:cs="Arial"/>
          <w:i w:val="0"/>
          <w:iCs w:val="0"/>
          <w:color w:val="auto"/>
          <w:sz w:val="22"/>
          <w:szCs w:val="22"/>
        </w:rPr>
      </w:pPr>
      <w:r w:rsidRPr="00C50224">
        <w:rPr>
          <w:rFonts w:ascii="Arial" w:hAnsi="Arial" w:cs="Arial"/>
          <w:i/>
          <w:sz w:val="22"/>
          <w:szCs w:val="22"/>
        </w:rPr>
        <w:t>Faculty Participation</w:t>
      </w:r>
      <w:r>
        <w:rPr>
          <w:rFonts w:ascii="Arial" w:hAnsi="Arial" w:cs="Arial"/>
          <w:sz w:val="22"/>
          <w:szCs w:val="22"/>
        </w:rPr>
        <w:t xml:space="preserve">: </w:t>
      </w:r>
      <w:r w:rsidR="00652024">
        <w:rPr>
          <w:rFonts w:ascii="Arial" w:hAnsi="Arial" w:cs="Arial"/>
          <w:sz w:val="22"/>
          <w:szCs w:val="22"/>
        </w:rPr>
        <w:t>Course instructors and guest presenters are e</w:t>
      </w:r>
      <w:r w:rsidR="005E2294">
        <w:rPr>
          <w:rFonts w:ascii="Arial" w:hAnsi="Arial" w:cs="Arial"/>
          <w:sz w:val="22"/>
          <w:szCs w:val="22"/>
        </w:rPr>
        <w:t xml:space="preserve">xpert faculty </w:t>
      </w:r>
      <w:r w:rsidR="00652024">
        <w:rPr>
          <w:rFonts w:ascii="Arial" w:hAnsi="Arial" w:cs="Arial"/>
          <w:sz w:val="22"/>
          <w:szCs w:val="22"/>
        </w:rPr>
        <w:t xml:space="preserve">and staff.  Depending on the particular course, faculty and </w:t>
      </w:r>
      <w:r>
        <w:rPr>
          <w:rFonts w:ascii="Arial" w:hAnsi="Arial" w:cs="Arial"/>
          <w:sz w:val="22"/>
          <w:szCs w:val="22"/>
        </w:rPr>
        <w:t xml:space="preserve">advanced students and trainees participate as </w:t>
      </w:r>
      <w:r w:rsidR="00652024">
        <w:rPr>
          <w:rFonts w:ascii="Arial" w:hAnsi="Arial" w:cs="Arial"/>
          <w:sz w:val="22"/>
          <w:szCs w:val="22"/>
        </w:rPr>
        <w:t>facilitators in</w:t>
      </w:r>
      <w:r>
        <w:rPr>
          <w:rFonts w:ascii="Arial" w:hAnsi="Arial" w:cs="Arial"/>
          <w:sz w:val="22"/>
          <w:szCs w:val="22"/>
        </w:rPr>
        <w:t xml:space="preserve"> </w:t>
      </w:r>
      <w:r w:rsidR="00CF074B">
        <w:rPr>
          <w:rFonts w:ascii="Arial" w:hAnsi="Arial" w:cs="Arial"/>
          <w:sz w:val="22"/>
          <w:szCs w:val="22"/>
        </w:rPr>
        <w:t xml:space="preserve">case </w:t>
      </w:r>
      <w:r>
        <w:rPr>
          <w:rFonts w:ascii="Arial" w:hAnsi="Arial" w:cs="Arial"/>
          <w:sz w:val="22"/>
          <w:szCs w:val="22"/>
        </w:rPr>
        <w:t>discussion</w:t>
      </w:r>
      <w:r w:rsidR="00CF074B">
        <w:rPr>
          <w:rFonts w:ascii="Arial" w:hAnsi="Arial" w:cs="Arial"/>
          <w:sz w:val="22"/>
          <w:szCs w:val="22"/>
        </w:rPr>
        <w:t>s.</w:t>
      </w:r>
      <w:r>
        <w:rPr>
          <w:rFonts w:ascii="Arial" w:hAnsi="Arial" w:cs="Arial"/>
          <w:sz w:val="22"/>
          <w:szCs w:val="22"/>
        </w:rPr>
        <w:t xml:space="preserve"> </w:t>
      </w:r>
      <w:r w:rsidR="00BE62B2">
        <w:rPr>
          <w:rFonts w:ascii="Arial" w:hAnsi="Arial" w:cs="Arial"/>
          <w:sz w:val="22"/>
          <w:szCs w:val="22"/>
        </w:rPr>
        <w:t xml:space="preserve"> </w:t>
      </w:r>
    </w:p>
    <w:p w14:paraId="2D658577" w14:textId="77777777" w:rsidR="00895B0C" w:rsidRDefault="00895B0C" w:rsidP="00895B0C"/>
    <w:p w14:paraId="2ABDF4E8" w14:textId="2B4CBD7F" w:rsidR="00895B0C" w:rsidRDefault="00895B0C" w:rsidP="00895B0C">
      <w:pPr>
        <w:rPr>
          <w:rFonts w:ascii="Arial" w:hAnsi="Arial" w:cs="Arial"/>
          <w:sz w:val="22"/>
          <w:szCs w:val="22"/>
        </w:rPr>
      </w:pPr>
      <w:r>
        <w:rPr>
          <w:rFonts w:ascii="Arial" w:hAnsi="Arial" w:cs="Arial"/>
          <w:i/>
          <w:sz w:val="22"/>
          <w:szCs w:val="22"/>
        </w:rPr>
        <w:t xml:space="preserve">Duration and Frequency of Instruction: </w:t>
      </w:r>
      <w:r>
        <w:rPr>
          <w:rFonts w:ascii="Arial" w:hAnsi="Arial" w:cs="Arial"/>
          <w:sz w:val="22"/>
          <w:szCs w:val="22"/>
        </w:rPr>
        <w:t xml:space="preserve"> RCR training at VCU is mandated </w:t>
      </w:r>
      <w:r w:rsidR="00514C19">
        <w:rPr>
          <w:rFonts w:ascii="Arial" w:hAnsi="Arial" w:cs="Arial"/>
          <w:sz w:val="22"/>
          <w:szCs w:val="22"/>
        </w:rPr>
        <w:t xml:space="preserve">by policy </w:t>
      </w:r>
      <w:r>
        <w:rPr>
          <w:rFonts w:ascii="Arial" w:hAnsi="Arial" w:cs="Arial"/>
          <w:sz w:val="22"/>
          <w:szCs w:val="22"/>
        </w:rPr>
        <w:t>to occur at least once during each career stage</w:t>
      </w:r>
      <w:r w:rsidR="00514C19">
        <w:rPr>
          <w:rFonts w:ascii="Arial" w:hAnsi="Arial" w:cs="Arial"/>
          <w:sz w:val="22"/>
          <w:szCs w:val="22"/>
        </w:rPr>
        <w:t>, preferably within the first year</w:t>
      </w:r>
      <w:r w:rsidR="00F95949">
        <w:rPr>
          <w:rFonts w:ascii="Arial" w:hAnsi="Arial" w:cs="Arial"/>
          <w:sz w:val="22"/>
          <w:szCs w:val="22"/>
        </w:rPr>
        <w:t>,</w:t>
      </w:r>
      <w:r>
        <w:rPr>
          <w:rFonts w:ascii="Arial" w:hAnsi="Arial" w:cs="Arial"/>
          <w:sz w:val="22"/>
          <w:szCs w:val="22"/>
        </w:rPr>
        <w:t xml:space="preserve"> but no less than once every four years</w:t>
      </w:r>
      <w:r w:rsidR="00514C19">
        <w:rPr>
          <w:rFonts w:ascii="Arial" w:hAnsi="Arial" w:cs="Arial"/>
          <w:sz w:val="22"/>
          <w:szCs w:val="22"/>
        </w:rPr>
        <w:t xml:space="preserve"> for undergraduate and graduate students, postdoctoral fellows and early career faculty listed on federal grants, </w:t>
      </w:r>
      <w:r>
        <w:rPr>
          <w:rFonts w:ascii="Arial" w:hAnsi="Arial" w:cs="Arial"/>
          <w:sz w:val="22"/>
          <w:szCs w:val="22"/>
        </w:rPr>
        <w:t xml:space="preserve">In the event that refresher training is needed to meet the four year cycle requirement, scholars will be required to re-take one of the RCR courses.   The dynamic content of RCR topics, the variety of expert speakers, and the use of different case studies, provides appropriate refreshing of knowledge and principles in RCR.   Content is adjusted to stay current with changing trends or nascent topic areas, so a course </w:t>
      </w:r>
      <w:r w:rsidR="00DB52A0">
        <w:rPr>
          <w:rFonts w:ascii="Arial" w:hAnsi="Arial" w:cs="Arial"/>
          <w:sz w:val="22"/>
          <w:szCs w:val="22"/>
        </w:rPr>
        <w:t xml:space="preserve">attended </w:t>
      </w:r>
      <w:r>
        <w:rPr>
          <w:rFonts w:ascii="Arial" w:hAnsi="Arial" w:cs="Arial"/>
          <w:sz w:val="22"/>
          <w:szCs w:val="22"/>
        </w:rPr>
        <w:t xml:space="preserve">4 years </w:t>
      </w:r>
      <w:r w:rsidR="00F02D0B">
        <w:rPr>
          <w:rFonts w:ascii="Arial" w:hAnsi="Arial" w:cs="Arial"/>
          <w:sz w:val="22"/>
          <w:szCs w:val="22"/>
        </w:rPr>
        <w:t>earlier</w:t>
      </w:r>
      <w:r>
        <w:rPr>
          <w:rFonts w:ascii="Arial" w:hAnsi="Arial" w:cs="Arial"/>
          <w:sz w:val="22"/>
          <w:szCs w:val="22"/>
        </w:rPr>
        <w:t xml:space="preserve"> would reflect significant updating to achieve currency.   For example, we have implemented changes in our course to reflect publication developments such as predatory publishing and preprint servers, changes in the common rule, and</w:t>
      </w:r>
      <w:r w:rsidR="00F95949">
        <w:rPr>
          <w:rFonts w:ascii="Arial" w:hAnsi="Arial" w:cs="Arial"/>
          <w:sz w:val="22"/>
          <w:szCs w:val="22"/>
        </w:rPr>
        <w:t xml:space="preserve"> </w:t>
      </w:r>
      <w:r>
        <w:rPr>
          <w:rFonts w:ascii="Arial" w:hAnsi="Arial" w:cs="Arial"/>
          <w:sz w:val="22"/>
          <w:szCs w:val="22"/>
        </w:rPr>
        <w:t>content material that addresses reproducibility and rigor</w:t>
      </w:r>
      <w:r w:rsidR="00652024">
        <w:rPr>
          <w:rFonts w:ascii="Arial" w:hAnsi="Arial" w:cs="Arial"/>
          <w:sz w:val="22"/>
          <w:szCs w:val="22"/>
        </w:rPr>
        <w:t>,</w:t>
      </w:r>
      <w:r w:rsidR="00DB52A0">
        <w:rPr>
          <w:rFonts w:ascii="Arial" w:hAnsi="Arial" w:cs="Arial"/>
          <w:sz w:val="22"/>
          <w:szCs w:val="22"/>
        </w:rPr>
        <w:t xml:space="preserve"> laboratory safety</w:t>
      </w:r>
      <w:r w:rsidR="00652024">
        <w:rPr>
          <w:rFonts w:ascii="Arial" w:hAnsi="Arial" w:cs="Arial"/>
          <w:sz w:val="22"/>
          <w:szCs w:val="22"/>
        </w:rPr>
        <w:t xml:space="preserve">, appropriate lab </w:t>
      </w:r>
      <w:r w:rsidR="009C1E6C">
        <w:rPr>
          <w:rFonts w:ascii="Arial" w:hAnsi="Arial" w:cs="Arial"/>
          <w:sz w:val="22"/>
          <w:szCs w:val="22"/>
        </w:rPr>
        <w:t xml:space="preserve">personnel </w:t>
      </w:r>
      <w:r w:rsidR="00652024">
        <w:rPr>
          <w:rFonts w:ascii="Arial" w:hAnsi="Arial" w:cs="Arial"/>
          <w:sz w:val="22"/>
          <w:szCs w:val="22"/>
        </w:rPr>
        <w:t xml:space="preserve">dynamics, and impacts of </w:t>
      </w:r>
      <w:r w:rsidR="009C1E6C">
        <w:rPr>
          <w:rFonts w:ascii="Arial" w:hAnsi="Arial" w:cs="Arial"/>
          <w:sz w:val="22"/>
          <w:szCs w:val="22"/>
        </w:rPr>
        <w:t>AI approaches</w:t>
      </w:r>
      <w:r w:rsidR="00652024">
        <w:rPr>
          <w:rFonts w:ascii="Arial" w:hAnsi="Arial" w:cs="Arial"/>
          <w:sz w:val="22"/>
          <w:szCs w:val="22"/>
        </w:rPr>
        <w:t xml:space="preserve"> on scientific </w:t>
      </w:r>
      <w:r w:rsidR="009C1E6C">
        <w:rPr>
          <w:rFonts w:ascii="Arial" w:hAnsi="Arial" w:cs="Arial"/>
          <w:sz w:val="22"/>
          <w:szCs w:val="22"/>
        </w:rPr>
        <w:t>rigor.</w:t>
      </w:r>
    </w:p>
    <w:p w14:paraId="564DF979" w14:textId="77777777" w:rsidR="00895B0C" w:rsidRDefault="00895B0C" w:rsidP="00895B0C">
      <w:pPr>
        <w:rPr>
          <w:rFonts w:ascii="Arial" w:hAnsi="Arial" w:cs="Arial"/>
          <w:sz w:val="22"/>
          <w:szCs w:val="22"/>
        </w:rPr>
      </w:pPr>
    </w:p>
    <w:p w14:paraId="6AE1BF37" w14:textId="6925E4DE" w:rsidR="00A13D51" w:rsidRDefault="009A5E50" w:rsidP="0029362F">
      <w:pPr>
        <w:rPr>
          <w:rStyle w:val="SubtleEmphasis"/>
          <w:rFonts w:ascii="Arial" w:hAnsi="Arial" w:cs="Arial"/>
          <w:i w:val="0"/>
          <w:color w:val="000000" w:themeColor="text1"/>
          <w:sz w:val="22"/>
          <w:szCs w:val="22"/>
        </w:rPr>
      </w:pPr>
      <w:r>
        <w:rPr>
          <w:rStyle w:val="SubtleEmphasis"/>
          <w:rFonts w:ascii="Arial" w:hAnsi="Arial" w:cs="Arial"/>
          <w:color w:val="000000" w:themeColor="text1"/>
          <w:sz w:val="22"/>
          <w:szCs w:val="22"/>
        </w:rPr>
        <w:t xml:space="preserve">Supplemental Educational Activities.  </w:t>
      </w:r>
      <w:r w:rsidR="00A13D51" w:rsidRPr="00A13D51">
        <w:rPr>
          <w:rStyle w:val="SubtleEmphasis"/>
          <w:rFonts w:ascii="Arial" w:hAnsi="Arial" w:cs="Arial"/>
          <w:i w:val="0"/>
          <w:color w:val="000000" w:themeColor="text1"/>
          <w:sz w:val="22"/>
          <w:szCs w:val="22"/>
        </w:rPr>
        <w:t xml:space="preserve">The Office of the Vice President for Research and Innovation (OVPRI) </w:t>
      </w:r>
      <w:r w:rsidR="008D2DC3">
        <w:rPr>
          <w:rStyle w:val="SubtleEmphasis"/>
          <w:rFonts w:ascii="Arial" w:hAnsi="Arial" w:cs="Arial"/>
          <w:i w:val="0"/>
          <w:color w:val="000000" w:themeColor="text1"/>
          <w:sz w:val="22"/>
          <w:szCs w:val="22"/>
        </w:rPr>
        <w:t xml:space="preserve">and VCU Libraries </w:t>
      </w:r>
      <w:r w:rsidR="00C56090">
        <w:rPr>
          <w:rStyle w:val="SubtleEmphasis"/>
          <w:rFonts w:ascii="Arial" w:hAnsi="Arial" w:cs="Arial"/>
          <w:i w:val="0"/>
          <w:color w:val="000000" w:themeColor="text1"/>
          <w:sz w:val="22"/>
          <w:szCs w:val="22"/>
        </w:rPr>
        <w:t>coordinate</w:t>
      </w:r>
      <w:r w:rsidR="00514C19">
        <w:rPr>
          <w:rStyle w:val="SubtleEmphasis"/>
          <w:rFonts w:ascii="Arial" w:hAnsi="Arial" w:cs="Arial"/>
          <w:i w:val="0"/>
          <w:color w:val="000000" w:themeColor="text1"/>
          <w:sz w:val="22"/>
          <w:szCs w:val="22"/>
        </w:rPr>
        <w:t>d</w:t>
      </w:r>
      <w:r w:rsidR="00A13D51" w:rsidRPr="00A13D51">
        <w:rPr>
          <w:rStyle w:val="SubtleEmphasis"/>
          <w:rFonts w:ascii="Arial" w:hAnsi="Arial" w:cs="Arial"/>
          <w:i w:val="0"/>
          <w:color w:val="000000" w:themeColor="text1"/>
          <w:sz w:val="22"/>
          <w:szCs w:val="22"/>
        </w:rPr>
        <w:t xml:space="preserve"> a lecture series that provides a platform</w:t>
      </w:r>
      <w:r w:rsidR="00A61B08">
        <w:rPr>
          <w:rStyle w:val="SubtleEmphasis"/>
          <w:rFonts w:ascii="Arial" w:hAnsi="Arial" w:cs="Arial"/>
          <w:i w:val="0"/>
          <w:color w:val="000000" w:themeColor="text1"/>
          <w:sz w:val="22"/>
          <w:szCs w:val="22"/>
        </w:rPr>
        <w:t xml:space="preserve"> for offering related content material</w:t>
      </w:r>
      <w:r w:rsidR="00A13D51" w:rsidRPr="00A13D51">
        <w:rPr>
          <w:rStyle w:val="SubtleEmphasis"/>
          <w:rFonts w:ascii="Arial" w:hAnsi="Arial" w:cs="Arial"/>
          <w:i w:val="0"/>
          <w:color w:val="000000" w:themeColor="text1"/>
          <w:sz w:val="22"/>
          <w:szCs w:val="22"/>
        </w:rPr>
        <w:t xml:space="preserve"> in selected RCR topics.  </w:t>
      </w:r>
      <w:r>
        <w:rPr>
          <w:rStyle w:val="SubtleEmphasis"/>
          <w:rFonts w:ascii="Arial" w:hAnsi="Arial" w:cs="Arial"/>
          <w:i w:val="0"/>
          <w:color w:val="000000" w:themeColor="text1"/>
          <w:sz w:val="22"/>
          <w:szCs w:val="22"/>
        </w:rPr>
        <w:t xml:space="preserve">Using the resources from the </w:t>
      </w:r>
      <w:r w:rsidR="00A13D51" w:rsidRPr="00A13D51">
        <w:rPr>
          <w:rStyle w:val="SubtleEmphasis"/>
          <w:rFonts w:ascii="Arial" w:hAnsi="Arial" w:cs="Arial"/>
          <w:i w:val="0"/>
          <w:color w:val="000000" w:themeColor="text1"/>
          <w:sz w:val="22"/>
          <w:szCs w:val="22"/>
        </w:rPr>
        <w:t>VCU Sanger Fund fo</w:t>
      </w:r>
      <w:r w:rsidR="00EA51DD">
        <w:rPr>
          <w:rStyle w:val="SubtleEmphasis"/>
          <w:rFonts w:ascii="Arial" w:hAnsi="Arial" w:cs="Arial"/>
          <w:i w:val="0"/>
          <w:color w:val="000000" w:themeColor="text1"/>
          <w:sz w:val="22"/>
          <w:szCs w:val="22"/>
        </w:rPr>
        <w:t>r Ethics, we have</w:t>
      </w:r>
      <w:r w:rsidR="00A13D51" w:rsidRPr="00A13D51">
        <w:rPr>
          <w:rStyle w:val="SubtleEmphasis"/>
          <w:rFonts w:ascii="Arial" w:hAnsi="Arial" w:cs="Arial"/>
          <w:i w:val="0"/>
          <w:color w:val="000000" w:themeColor="text1"/>
          <w:sz w:val="22"/>
          <w:szCs w:val="22"/>
        </w:rPr>
        <w:t xml:space="preserve"> sponsor</w:t>
      </w:r>
      <w:r w:rsidR="00530A72">
        <w:rPr>
          <w:rStyle w:val="SubtleEmphasis"/>
          <w:rFonts w:ascii="Arial" w:hAnsi="Arial" w:cs="Arial"/>
          <w:i w:val="0"/>
          <w:color w:val="000000" w:themeColor="text1"/>
          <w:sz w:val="22"/>
          <w:szCs w:val="22"/>
        </w:rPr>
        <w:t>ed</w:t>
      </w:r>
      <w:r w:rsidR="00E57439">
        <w:rPr>
          <w:rStyle w:val="SubtleEmphasis"/>
          <w:rFonts w:ascii="Arial" w:hAnsi="Arial" w:cs="Arial"/>
          <w:i w:val="0"/>
          <w:color w:val="000000" w:themeColor="text1"/>
          <w:sz w:val="22"/>
          <w:szCs w:val="22"/>
        </w:rPr>
        <w:t xml:space="preserve"> </w:t>
      </w:r>
      <w:r w:rsidR="00EF08C0">
        <w:rPr>
          <w:rStyle w:val="SubtleEmphasis"/>
          <w:rFonts w:ascii="Arial" w:hAnsi="Arial" w:cs="Arial"/>
          <w:i w:val="0"/>
          <w:color w:val="000000" w:themeColor="text1"/>
          <w:sz w:val="22"/>
          <w:szCs w:val="22"/>
        </w:rPr>
        <w:t>1</w:t>
      </w:r>
      <w:r w:rsidR="00E57439">
        <w:rPr>
          <w:rStyle w:val="SubtleEmphasis"/>
          <w:rFonts w:ascii="Arial" w:hAnsi="Arial" w:cs="Arial"/>
          <w:i w:val="0"/>
          <w:color w:val="000000" w:themeColor="text1"/>
          <w:sz w:val="22"/>
          <w:szCs w:val="22"/>
        </w:rPr>
        <w:t>-2 speakers/</w:t>
      </w:r>
      <w:r w:rsidR="00287E1F">
        <w:rPr>
          <w:rStyle w:val="SubtleEmphasis"/>
          <w:rFonts w:ascii="Arial" w:hAnsi="Arial" w:cs="Arial"/>
          <w:i w:val="0"/>
          <w:color w:val="000000" w:themeColor="text1"/>
          <w:sz w:val="22"/>
          <w:szCs w:val="22"/>
        </w:rPr>
        <w:t>year</w:t>
      </w:r>
      <w:r w:rsidR="00574E27">
        <w:rPr>
          <w:rStyle w:val="SubtleEmphasis"/>
          <w:rFonts w:ascii="Arial" w:hAnsi="Arial" w:cs="Arial"/>
          <w:i w:val="0"/>
          <w:color w:val="000000" w:themeColor="text1"/>
          <w:sz w:val="22"/>
          <w:szCs w:val="22"/>
        </w:rPr>
        <w:t xml:space="preserve"> who present</w:t>
      </w:r>
      <w:r w:rsidR="00A13D51" w:rsidRPr="00A13D51">
        <w:rPr>
          <w:rStyle w:val="SubtleEmphasis"/>
          <w:rFonts w:ascii="Arial" w:hAnsi="Arial" w:cs="Arial"/>
          <w:i w:val="0"/>
          <w:color w:val="000000" w:themeColor="text1"/>
          <w:sz w:val="22"/>
          <w:szCs w:val="22"/>
        </w:rPr>
        <w:t xml:space="preserve"> a university-wide lecture on a </w:t>
      </w:r>
      <w:proofErr w:type="gramStart"/>
      <w:r w:rsidR="00A13D51" w:rsidRPr="00A13D51">
        <w:rPr>
          <w:rStyle w:val="SubtleEmphasis"/>
          <w:rFonts w:ascii="Arial" w:hAnsi="Arial" w:cs="Arial"/>
          <w:i w:val="0"/>
          <w:color w:val="000000" w:themeColor="text1"/>
          <w:sz w:val="22"/>
          <w:szCs w:val="22"/>
        </w:rPr>
        <w:t>topic</w:t>
      </w:r>
      <w:r w:rsidR="00E57439">
        <w:rPr>
          <w:rStyle w:val="SubtleEmphasis"/>
          <w:rFonts w:ascii="Arial" w:hAnsi="Arial" w:cs="Arial"/>
          <w:i w:val="0"/>
          <w:color w:val="000000" w:themeColor="text1"/>
          <w:sz w:val="22"/>
          <w:szCs w:val="22"/>
        </w:rPr>
        <w:t>s</w:t>
      </w:r>
      <w:proofErr w:type="gramEnd"/>
      <w:r w:rsidR="00A13D51" w:rsidRPr="00A13D51">
        <w:rPr>
          <w:rStyle w:val="SubtleEmphasis"/>
          <w:rFonts w:ascii="Arial" w:hAnsi="Arial" w:cs="Arial"/>
          <w:i w:val="0"/>
          <w:color w:val="000000" w:themeColor="text1"/>
          <w:sz w:val="22"/>
          <w:szCs w:val="22"/>
        </w:rPr>
        <w:t xml:space="preserve"> related to </w:t>
      </w:r>
      <w:r w:rsidR="00A13D51" w:rsidRPr="00A13D51">
        <w:rPr>
          <w:rStyle w:val="SubtleEmphasis"/>
          <w:rFonts w:ascii="Arial" w:hAnsi="Arial" w:cs="Arial"/>
          <w:i w:val="0"/>
          <w:color w:val="000000" w:themeColor="text1"/>
          <w:sz w:val="22"/>
          <w:szCs w:val="22"/>
        </w:rPr>
        <w:lastRenderedPageBreak/>
        <w:t xml:space="preserve">the responsible conduct of research. </w:t>
      </w:r>
      <w:r w:rsidR="00BE62B2">
        <w:rPr>
          <w:rStyle w:val="SubtleEmphasis"/>
          <w:rFonts w:ascii="Arial" w:hAnsi="Arial" w:cs="Arial"/>
          <w:i w:val="0"/>
          <w:color w:val="000000" w:themeColor="text1"/>
          <w:sz w:val="22"/>
          <w:szCs w:val="22"/>
        </w:rPr>
        <w:t>In the past</w:t>
      </w:r>
      <w:r w:rsidR="00E57439">
        <w:rPr>
          <w:rStyle w:val="SubtleEmphasis"/>
          <w:rFonts w:ascii="Arial" w:hAnsi="Arial" w:cs="Arial"/>
          <w:i w:val="0"/>
          <w:color w:val="000000" w:themeColor="text1"/>
          <w:sz w:val="22"/>
          <w:szCs w:val="22"/>
        </w:rPr>
        <w:t xml:space="preserve">, </w:t>
      </w:r>
      <w:r>
        <w:rPr>
          <w:rStyle w:val="SubtleEmphasis"/>
          <w:rFonts w:ascii="Arial" w:hAnsi="Arial" w:cs="Arial"/>
          <w:i w:val="0"/>
          <w:color w:val="000000" w:themeColor="text1"/>
          <w:sz w:val="22"/>
          <w:szCs w:val="22"/>
        </w:rPr>
        <w:t>speakers have included</w:t>
      </w:r>
      <w:r w:rsidR="00A13D51" w:rsidRPr="00A13D51">
        <w:rPr>
          <w:rStyle w:val="SubtleEmphasis"/>
          <w:rFonts w:ascii="Arial" w:hAnsi="Arial" w:cs="Arial"/>
          <w:i w:val="0"/>
          <w:color w:val="000000" w:themeColor="text1"/>
          <w:sz w:val="22"/>
          <w:szCs w:val="22"/>
        </w:rPr>
        <w:t xml:space="preserve"> John Wilbanks from Sage Bionetworks </w:t>
      </w:r>
      <w:r>
        <w:rPr>
          <w:rStyle w:val="SubtleEmphasis"/>
          <w:rFonts w:ascii="Arial" w:hAnsi="Arial" w:cs="Arial"/>
          <w:i w:val="0"/>
          <w:color w:val="000000" w:themeColor="text1"/>
          <w:sz w:val="22"/>
          <w:szCs w:val="22"/>
        </w:rPr>
        <w:t>(</w:t>
      </w:r>
      <w:r w:rsidR="00A13D51" w:rsidRPr="0072033E">
        <w:rPr>
          <w:rStyle w:val="SubtleEmphasis"/>
          <w:rFonts w:ascii="Arial" w:hAnsi="Arial" w:cs="Arial"/>
          <w:color w:val="000000" w:themeColor="text1"/>
          <w:sz w:val="22"/>
          <w:szCs w:val="22"/>
        </w:rPr>
        <w:t>Politics of Personal Research Data</w:t>
      </w:r>
      <w:r>
        <w:rPr>
          <w:rStyle w:val="SubtleEmphasis"/>
          <w:rFonts w:ascii="Arial" w:hAnsi="Arial" w:cs="Arial"/>
          <w:i w:val="0"/>
          <w:color w:val="000000" w:themeColor="text1"/>
          <w:sz w:val="22"/>
          <w:szCs w:val="22"/>
        </w:rPr>
        <w:t>)</w:t>
      </w:r>
      <w:r w:rsidR="00A13D51" w:rsidRPr="00A13D51">
        <w:rPr>
          <w:rStyle w:val="SubtleEmphasis"/>
          <w:rFonts w:ascii="Arial" w:hAnsi="Arial" w:cs="Arial"/>
          <w:i w:val="0"/>
          <w:color w:val="000000" w:themeColor="text1"/>
          <w:sz w:val="22"/>
          <w:szCs w:val="22"/>
        </w:rPr>
        <w:t xml:space="preserve">, John Willinsky from Stanford University </w:t>
      </w:r>
      <w:r w:rsidR="008242BA">
        <w:rPr>
          <w:rStyle w:val="SubtleEmphasis"/>
          <w:rFonts w:ascii="Arial" w:hAnsi="Arial" w:cs="Arial"/>
          <w:i w:val="0"/>
          <w:color w:val="000000" w:themeColor="text1"/>
          <w:sz w:val="22"/>
          <w:szCs w:val="22"/>
        </w:rPr>
        <w:t>(</w:t>
      </w:r>
      <w:r w:rsidR="00A13D51" w:rsidRPr="00530A72">
        <w:rPr>
          <w:rStyle w:val="SubtleEmphasis"/>
          <w:rFonts w:ascii="Arial" w:hAnsi="Arial" w:cs="Arial"/>
          <w:color w:val="000000" w:themeColor="text1"/>
          <w:sz w:val="22"/>
          <w:szCs w:val="22"/>
        </w:rPr>
        <w:t>The Intellectual Properties of Learning</w:t>
      </w:r>
      <w:r w:rsidR="008242BA">
        <w:rPr>
          <w:rStyle w:val="SubtleEmphasis"/>
          <w:rFonts w:ascii="Arial" w:hAnsi="Arial" w:cs="Arial"/>
          <w:i w:val="0"/>
          <w:color w:val="000000" w:themeColor="text1"/>
          <w:sz w:val="22"/>
          <w:szCs w:val="22"/>
        </w:rPr>
        <w:t>)</w:t>
      </w:r>
      <w:r w:rsidR="00A13D51" w:rsidRPr="00A13D51">
        <w:rPr>
          <w:rStyle w:val="SubtleEmphasis"/>
          <w:rFonts w:ascii="Arial" w:hAnsi="Arial" w:cs="Arial"/>
          <w:i w:val="0"/>
          <w:color w:val="000000" w:themeColor="text1"/>
          <w:sz w:val="22"/>
          <w:szCs w:val="22"/>
        </w:rPr>
        <w:t xml:space="preserve">, </w:t>
      </w:r>
      <w:r w:rsidR="008242BA">
        <w:rPr>
          <w:rStyle w:val="SubtleEmphasis"/>
          <w:rFonts w:ascii="Arial" w:hAnsi="Arial" w:cs="Arial"/>
          <w:i w:val="0"/>
          <w:color w:val="000000" w:themeColor="text1"/>
          <w:sz w:val="22"/>
          <w:szCs w:val="22"/>
        </w:rPr>
        <w:t xml:space="preserve"> </w:t>
      </w:r>
      <w:r w:rsidR="00A13D51" w:rsidRPr="00A13D51">
        <w:rPr>
          <w:rStyle w:val="SubtleEmphasis"/>
          <w:rFonts w:ascii="Arial" w:hAnsi="Arial" w:cs="Arial"/>
          <w:i w:val="0"/>
          <w:color w:val="000000" w:themeColor="text1"/>
          <w:sz w:val="22"/>
          <w:szCs w:val="22"/>
        </w:rPr>
        <w:t>Lawrence Tabak, principal deputy director of the National Institutes of Health</w:t>
      </w:r>
      <w:r w:rsidR="00C13E41">
        <w:rPr>
          <w:rStyle w:val="SubtleEmphasis"/>
          <w:rFonts w:ascii="Arial" w:hAnsi="Arial" w:cs="Arial"/>
          <w:i w:val="0"/>
          <w:color w:val="000000" w:themeColor="text1"/>
          <w:sz w:val="22"/>
          <w:szCs w:val="22"/>
        </w:rPr>
        <w:t xml:space="preserve"> (</w:t>
      </w:r>
      <w:r w:rsidR="0072033E" w:rsidRPr="0072033E">
        <w:rPr>
          <w:rStyle w:val="SubtleEmphasis"/>
          <w:rFonts w:ascii="Arial" w:hAnsi="Arial" w:cs="Arial"/>
          <w:color w:val="000000" w:themeColor="text1"/>
          <w:sz w:val="22"/>
          <w:szCs w:val="22"/>
        </w:rPr>
        <w:t>D</w:t>
      </w:r>
      <w:r w:rsidR="00A13D51" w:rsidRPr="0072033E">
        <w:rPr>
          <w:rStyle w:val="SubtleEmphasis"/>
          <w:rFonts w:ascii="Arial" w:hAnsi="Arial" w:cs="Arial"/>
          <w:color w:val="000000" w:themeColor="text1"/>
          <w:sz w:val="22"/>
          <w:szCs w:val="22"/>
        </w:rPr>
        <w:t xml:space="preserve">ata </w:t>
      </w:r>
      <w:r w:rsidR="00D95F2C">
        <w:rPr>
          <w:rStyle w:val="SubtleEmphasis"/>
          <w:rFonts w:ascii="Arial" w:hAnsi="Arial" w:cs="Arial"/>
          <w:color w:val="000000" w:themeColor="text1"/>
          <w:sz w:val="22"/>
          <w:szCs w:val="22"/>
        </w:rPr>
        <w:t>R</w:t>
      </w:r>
      <w:r w:rsidR="00A13D51" w:rsidRPr="0072033E">
        <w:rPr>
          <w:rStyle w:val="SubtleEmphasis"/>
          <w:rFonts w:ascii="Arial" w:hAnsi="Arial" w:cs="Arial"/>
          <w:color w:val="000000" w:themeColor="text1"/>
          <w:sz w:val="22"/>
          <w:szCs w:val="22"/>
        </w:rPr>
        <w:t>eproducibility</w:t>
      </w:r>
      <w:r w:rsidR="00C13E41">
        <w:rPr>
          <w:rStyle w:val="SubtleEmphasis"/>
          <w:rFonts w:ascii="Arial" w:hAnsi="Arial" w:cs="Arial"/>
          <w:i w:val="0"/>
          <w:color w:val="000000" w:themeColor="text1"/>
          <w:sz w:val="22"/>
          <w:szCs w:val="22"/>
        </w:rPr>
        <w:t>),</w:t>
      </w:r>
      <w:r w:rsidR="00A13D51" w:rsidRPr="00A13D51">
        <w:rPr>
          <w:rStyle w:val="SubtleEmphasis"/>
          <w:rFonts w:ascii="Arial" w:hAnsi="Arial" w:cs="Arial"/>
          <w:i w:val="0"/>
          <w:color w:val="000000" w:themeColor="text1"/>
          <w:sz w:val="22"/>
          <w:szCs w:val="22"/>
        </w:rPr>
        <w:t xml:space="preserve">  Bruce Alberts, Univ. California, San Francisco </w:t>
      </w:r>
      <w:r w:rsidR="00C13E41">
        <w:rPr>
          <w:rStyle w:val="SubtleEmphasis"/>
          <w:rFonts w:ascii="Arial" w:hAnsi="Arial" w:cs="Arial"/>
          <w:i w:val="0"/>
          <w:color w:val="000000" w:themeColor="text1"/>
          <w:sz w:val="22"/>
          <w:szCs w:val="22"/>
        </w:rPr>
        <w:t xml:space="preserve"> (</w:t>
      </w:r>
      <w:r w:rsidR="008D2DC3" w:rsidRPr="0072033E">
        <w:rPr>
          <w:rStyle w:val="SubtleEmphasis"/>
          <w:rFonts w:ascii="Arial" w:hAnsi="Arial" w:cs="Arial"/>
          <w:color w:val="000000" w:themeColor="text1"/>
          <w:sz w:val="22"/>
          <w:szCs w:val="22"/>
        </w:rPr>
        <w:t>Science and the World’s Future</w:t>
      </w:r>
      <w:r w:rsidR="00A61B08">
        <w:rPr>
          <w:rStyle w:val="SubtleEmphasis"/>
          <w:rFonts w:ascii="Arial" w:hAnsi="Arial" w:cs="Arial"/>
          <w:color w:val="000000" w:themeColor="text1"/>
          <w:sz w:val="22"/>
          <w:szCs w:val="22"/>
        </w:rPr>
        <w:t xml:space="preserve"> </w:t>
      </w:r>
      <w:r w:rsidR="00A61B08">
        <w:rPr>
          <w:rStyle w:val="SubtleEmphasis"/>
          <w:rFonts w:ascii="Arial" w:hAnsi="Arial" w:cs="Arial"/>
          <w:i w:val="0"/>
          <w:color w:val="000000" w:themeColor="text1"/>
          <w:sz w:val="22"/>
          <w:szCs w:val="22"/>
        </w:rPr>
        <w:t xml:space="preserve">in  2014, and </w:t>
      </w:r>
      <w:r w:rsidR="00523356">
        <w:rPr>
          <w:rStyle w:val="SubtleEmphasis"/>
          <w:rFonts w:ascii="Arial" w:hAnsi="Arial" w:cs="Arial"/>
          <w:i w:val="0"/>
          <w:color w:val="000000" w:themeColor="text1"/>
          <w:sz w:val="22"/>
          <w:szCs w:val="22"/>
        </w:rPr>
        <w:t xml:space="preserve">in 2017 a Lasker Lecture,  </w:t>
      </w:r>
      <w:r w:rsidR="00523356" w:rsidRPr="00523356">
        <w:rPr>
          <w:rStyle w:val="SubtleEmphasis"/>
          <w:rFonts w:ascii="Arial" w:hAnsi="Arial" w:cs="Arial"/>
          <w:color w:val="000000" w:themeColor="text1"/>
          <w:sz w:val="22"/>
          <w:szCs w:val="22"/>
        </w:rPr>
        <w:t>Keeping Science and Society Health</w:t>
      </w:r>
      <w:r w:rsidR="00523356">
        <w:rPr>
          <w:rStyle w:val="SubtleEmphasis"/>
          <w:rFonts w:ascii="Arial" w:hAnsi="Arial" w:cs="Arial"/>
          <w:color w:val="000000" w:themeColor="text1"/>
          <w:sz w:val="22"/>
          <w:szCs w:val="22"/>
        </w:rPr>
        <w:t>y</w:t>
      </w:r>
      <w:r w:rsidR="00523356" w:rsidRPr="00523356">
        <w:rPr>
          <w:rStyle w:val="SubtleEmphasis"/>
          <w:rFonts w:ascii="Arial" w:hAnsi="Arial" w:cs="Arial"/>
          <w:color w:val="000000" w:themeColor="text1"/>
          <w:sz w:val="22"/>
          <w:szCs w:val="22"/>
        </w:rPr>
        <w:t>: Challenges for Scientists</w:t>
      </w:r>
      <w:r w:rsidR="00C13E41">
        <w:rPr>
          <w:rStyle w:val="SubtleEmphasis"/>
          <w:rFonts w:ascii="Arial" w:hAnsi="Arial" w:cs="Arial"/>
          <w:i w:val="0"/>
          <w:color w:val="000000" w:themeColor="text1"/>
          <w:sz w:val="22"/>
          <w:szCs w:val="22"/>
        </w:rPr>
        <w:t xml:space="preserve">), </w:t>
      </w:r>
      <w:r w:rsidR="00A13D51" w:rsidRPr="00A13D51">
        <w:rPr>
          <w:rStyle w:val="SubtleEmphasis"/>
          <w:rFonts w:ascii="Arial" w:hAnsi="Arial" w:cs="Arial"/>
          <w:i w:val="0"/>
          <w:color w:val="000000" w:themeColor="text1"/>
          <w:sz w:val="22"/>
          <w:szCs w:val="22"/>
        </w:rPr>
        <w:t>Madelyn Wesse</w:t>
      </w:r>
      <w:r w:rsidR="008D2DC3">
        <w:rPr>
          <w:rStyle w:val="SubtleEmphasis"/>
          <w:rFonts w:ascii="Arial" w:hAnsi="Arial" w:cs="Arial"/>
          <w:i w:val="0"/>
          <w:color w:val="000000" w:themeColor="text1"/>
          <w:sz w:val="22"/>
          <w:szCs w:val="22"/>
        </w:rPr>
        <w:t>l, J</w:t>
      </w:r>
      <w:r w:rsidR="00574E27">
        <w:rPr>
          <w:rStyle w:val="SubtleEmphasis"/>
          <w:rFonts w:ascii="Arial" w:hAnsi="Arial" w:cs="Arial"/>
          <w:i w:val="0"/>
          <w:color w:val="000000" w:themeColor="text1"/>
          <w:sz w:val="22"/>
          <w:szCs w:val="22"/>
        </w:rPr>
        <w:t>.</w:t>
      </w:r>
      <w:r w:rsidR="008D2DC3">
        <w:rPr>
          <w:rStyle w:val="SubtleEmphasis"/>
          <w:rFonts w:ascii="Arial" w:hAnsi="Arial" w:cs="Arial"/>
          <w:i w:val="0"/>
          <w:color w:val="000000" w:themeColor="text1"/>
          <w:sz w:val="22"/>
          <w:szCs w:val="22"/>
        </w:rPr>
        <w:t>D</w:t>
      </w:r>
      <w:r w:rsidR="00574E27">
        <w:rPr>
          <w:rStyle w:val="SubtleEmphasis"/>
          <w:rFonts w:ascii="Arial" w:hAnsi="Arial" w:cs="Arial"/>
          <w:i w:val="0"/>
          <w:color w:val="000000" w:themeColor="text1"/>
          <w:sz w:val="22"/>
          <w:szCs w:val="22"/>
        </w:rPr>
        <w:t>.</w:t>
      </w:r>
      <w:r w:rsidR="00EF08C0">
        <w:rPr>
          <w:rStyle w:val="SubtleEmphasis"/>
          <w:rFonts w:ascii="Arial" w:hAnsi="Arial" w:cs="Arial"/>
          <w:i w:val="0"/>
          <w:color w:val="000000" w:themeColor="text1"/>
          <w:sz w:val="22"/>
          <w:szCs w:val="22"/>
        </w:rPr>
        <w:t xml:space="preserve">, </w:t>
      </w:r>
      <w:r w:rsidR="008D2DC3">
        <w:rPr>
          <w:rStyle w:val="SubtleEmphasis"/>
          <w:rFonts w:ascii="Arial" w:hAnsi="Arial" w:cs="Arial"/>
          <w:i w:val="0"/>
          <w:color w:val="000000" w:themeColor="text1"/>
          <w:sz w:val="22"/>
          <w:szCs w:val="22"/>
        </w:rPr>
        <w:t>VCU Counsel</w:t>
      </w:r>
      <w:r w:rsidR="00C13E41">
        <w:rPr>
          <w:rStyle w:val="SubtleEmphasis"/>
          <w:rFonts w:ascii="Arial" w:hAnsi="Arial" w:cs="Arial"/>
          <w:i w:val="0"/>
          <w:color w:val="000000" w:themeColor="text1"/>
          <w:sz w:val="22"/>
          <w:szCs w:val="22"/>
        </w:rPr>
        <w:t>/Office of the Va.  Attorney General  (</w:t>
      </w:r>
      <w:r w:rsidR="00A13D51" w:rsidRPr="0072033E">
        <w:rPr>
          <w:rStyle w:val="SubtleEmphasis"/>
          <w:rFonts w:ascii="Arial" w:hAnsi="Arial" w:cs="Arial"/>
          <w:color w:val="000000" w:themeColor="text1"/>
          <w:sz w:val="22"/>
          <w:szCs w:val="22"/>
        </w:rPr>
        <w:t>Intell</w:t>
      </w:r>
      <w:r w:rsidR="008D2DC3" w:rsidRPr="0072033E">
        <w:rPr>
          <w:rStyle w:val="SubtleEmphasis"/>
          <w:rFonts w:ascii="Arial" w:hAnsi="Arial" w:cs="Arial"/>
          <w:color w:val="000000" w:themeColor="text1"/>
          <w:sz w:val="22"/>
          <w:szCs w:val="22"/>
        </w:rPr>
        <w:t>ectual Property and the Academy</w:t>
      </w:r>
      <w:r w:rsidR="00A42980">
        <w:rPr>
          <w:rStyle w:val="SubtleEmphasis"/>
          <w:rFonts w:ascii="Arial" w:hAnsi="Arial" w:cs="Arial"/>
          <w:i w:val="0"/>
          <w:color w:val="000000" w:themeColor="text1"/>
          <w:sz w:val="22"/>
          <w:szCs w:val="22"/>
        </w:rPr>
        <w:t>),</w:t>
      </w:r>
      <w:r w:rsidR="00A13D51" w:rsidRPr="00A13D51">
        <w:rPr>
          <w:rStyle w:val="SubtleEmphasis"/>
          <w:rFonts w:ascii="Arial" w:hAnsi="Arial" w:cs="Arial"/>
          <w:i w:val="0"/>
          <w:color w:val="000000" w:themeColor="text1"/>
          <w:sz w:val="22"/>
          <w:szCs w:val="22"/>
        </w:rPr>
        <w:t xml:space="preserve">  Brian Nosek </w:t>
      </w:r>
      <w:r w:rsidR="00D95F2C">
        <w:rPr>
          <w:rStyle w:val="SubtleEmphasis"/>
          <w:rFonts w:ascii="Arial" w:hAnsi="Arial" w:cs="Arial"/>
          <w:i w:val="0"/>
          <w:color w:val="000000" w:themeColor="text1"/>
          <w:sz w:val="22"/>
          <w:szCs w:val="22"/>
        </w:rPr>
        <w:t>,P</w:t>
      </w:r>
      <w:r w:rsidR="00A13D51" w:rsidRPr="00A13D51">
        <w:rPr>
          <w:rStyle w:val="SubtleEmphasis"/>
          <w:rFonts w:ascii="Arial" w:hAnsi="Arial" w:cs="Arial"/>
          <w:i w:val="0"/>
          <w:color w:val="000000" w:themeColor="text1"/>
          <w:sz w:val="22"/>
          <w:szCs w:val="22"/>
        </w:rPr>
        <w:t xml:space="preserve">rofessor of </w:t>
      </w:r>
      <w:r w:rsidR="00D95F2C">
        <w:rPr>
          <w:rStyle w:val="SubtleEmphasis"/>
          <w:rFonts w:ascii="Arial" w:hAnsi="Arial" w:cs="Arial"/>
          <w:i w:val="0"/>
          <w:color w:val="000000" w:themeColor="text1"/>
          <w:sz w:val="22"/>
          <w:szCs w:val="22"/>
        </w:rPr>
        <w:t>P</w:t>
      </w:r>
      <w:r w:rsidR="00A13D51" w:rsidRPr="00A13D51">
        <w:rPr>
          <w:rStyle w:val="SubtleEmphasis"/>
          <w:rFonts w:ascii="Arial" w:hAnsi="Arial" w:cs="Arial"/>
          <w:i w:val="0"/>
          <w:color w:val="000000" w:themeColor="text1"/>
          <w:sz w:val="22"/>
          <w:szCs w:val="22"/>
        </w:rPr>
        <w:t>sychology at the University of Virginia and co-Director of the Ce</w:t>
      </w:r>
      <w:r w:rsidR="008D2DC3">
        <w:rPr>
          <w:rStyle w:val="SubtleEmphasis"/>
          <w:rFonts w:ascii="Arial" w:hAnsi="Arial" w:cs="Arial"/>
          <w:i w:val="0"/>
          <w:color w:val="000000" w:themeColor="text1"/>
          <w:sz w:val="22"/>
          <w:szCs w:val="22"/>
        </w:rPr>
        <w:t xml:space="preserve">nter for Open Science </w:t>
      </w:r>
      <w:r w:rsidR="00C13E41">
        <w:rPr>
          <w:rStyle w:val="SubtleEmphasis"/>
          <w:rFonts w:ascii="Arial" w:hAnsi="Arial" w:cs="Arial"/>
          <w:i w:val="0"/>
          <w:color w:val="000000" w:themeColor="text1"/>
          <w:sz w:val="22"/>
          <w:szCs w:val="22"/>
        </w:rPr>
        <w:t>(</w:t>
      </w:r>
      <w:r w:rsidR="00A13D51" w:rsidRPr="0072033E">
        <w:rPr>
          <w:rStyle w:val="SubtleEmphasis"/>
          <w:rFonts w:ascii="Arial" w:hAnsi="Arial" w:cs="Arial"/>
          <w:color w:val="000000" w:themeColor="text1"/>
          <w:sz w:val="22"/>
          <w:szCs w:val="22"/>
        </w:rPr>
        <w:t>Improving Transparency and Reprodu</w:t>
      </w:r>
      <w:r w:rsidR="008D2DC3" w:rsidRPr="0072033E">
        <w:rPr>
          <w:rStyle w:val="SubtleEmphasis"/>
          <w:rFonts w:ascii="Arial" w:hAnsi="Arial" w:cs="Arial"/>
          <w:color w:val="000000" w:themeColor="text1"/>
          <w:sz w:val="22"/>
          <w:szCs w:val="22"/>
        </w:rPr>
        <w:t>cibility of Scientific Research</w:t>
      </w:r>
      <w:r w:rsidR="00C13E41">
        <w:rPr>
          <w:rStyle w:val="SubtleEmphasis"/>
          <w:rFonts w:ascii="Arial" w:hAnsi="Arial" w:cs="Arial"/>
          <w:i w:val="0"/>
          <w:color w:val="000000" w:themeColor="text1"/>
          <w:sz w:val="22"/>
          <w:szCs w:val="22"/>
        </w:rPr>
        <w:t>)</w:t>
      </w:r>
      <w:r w:rsidR="00A42980">
        <w:rPr>
          <w:rStyle w:val="SubtleEmphasis"/>
          <w:rFonts w:ascii="Arial" w:hAnsi="Arial" w:cs="Arial"/>
          <w:i w:val="0"/>
          <w:color w:val="000000" w:themeColor="text1"/>
          <w:sz w:val="22"/>
          <w:szCs w:val="22"/>
        </w:rPr>
        <w:t>, Lynn Zentner,</w:t>
      </w:r>
      <w:r w:rsidR="00574E27">
        <w:rPr>
          <w:rStyle w:val="SubtleEmphasis"/>
          <w:rFonts w:ascii="Arial" w:hAnsi="Arial" w:cs="Arial"/>
          <w:i w:val="0"/>
          <w:color w:val="000000" w:themeColor="text1"/>
          <w:sz w:val="22"/>
          <w:szCs w:val="22"/>
        </w:rPr>
        <w:t xml:space="preserve"> </w:t>
      </w:r>
      <w:r w:rsidR="00A42980">
        <w:rPr>
          <w:rStyle w:val="SubtleEmphasis"/>
          <w:rFonts w:ascii="Arial" w:hAnsi="Arial" w:cs="Arial"/>
          <w:i w:val="0"/>
          <w:color w:val="000000" w:themeColor="text1"/>
          <w:sz w:val="22"/>
          <w:szCs w:val="22"/>
        </w:rPr>
        <w:t xml:space="preserve"> J.D., Director of Institutional Compliance, University of Minnesota  (</w:t>
      </w:r>
      <w:r w:rsidR="00A42980">
        <w:rPr>
          <w:rStyle w:val="SubtleEmphasis"/>
          <w:rFonts w:ascii="Arial" w:hAnsi="Arial" w:cs="Arial"/>
          <w:color w:val="000000" w:themeColor="text1"/>
          <w:sz w:val="22"/>
          <w:szCs w:val="22"/>
        </w:rPr>
        <w:t>Inst</w:t>
      </w:r>
      <w:r w:rsidR="00E57439">
        <w:rPr>
          <w:rStyle w:val="SubtleEmphasis"/>
          <w:rFonts w:ascii="Arial" w:hAnsi="Arial" w:cs="Arial"/>
          <w:color w:val="000000" w:themeColor="text1"/>
          <w:sz w:val="22"/>
          <w:szCs w:val="22"/>
        </w:rPr>
        <w:t xml:space="preserve">itutional Conflict of Interest), </w:t>
      </w:r>
      <w:r w:rsidR="00A42980">
        <w:rPr>
          <w:rStyle w:val="SubtleEmphasis"/>
          <w:rFonts w:ascii="Arial" w:hAnsi="Arial" w:cs="Arial"/>
          <w:i w:val="0"/>
          <w:color w:val="000000" w:themeColor="text1"/>
          <w:sz w:val="22"/>
          <w:szCs w:val="22"/>
        </w:rPr>
        <w:t>Jacob Rooksby, Associate Professor of Law, Duquesne University (</w:t>
      </w:r>
      <w:r w:rsidR="00A42980">
        <w:rPr>
          <w:rStyle w:val="SubtleEmphasis"/>
          <w:rFonts w:ascii="Arial" w:hAnsi="Arial" w:cs="Arial"/>
          <w:color w:val="000000" w:themeColor="text1"/>
          <w:sz w:val="22"/>
          <w:szCs w:val="22"/>
        </w:rPr>
        <w:t xml:space="preserve">The Branding of the American Mind: </w:t>
      </w:r>
      <w:r w:rsidR="00E57439">
        <w:rPr>
          <w:rStyle w:val="SubtleEmphasis"/>
          <w:rFonts w:ascii="Arial" w:hAnsi="Arial" w:cs="Arial"/>
          <w:color w:val="000000" w:themeColor="text1"/>
          <w:sz w:val="22"/>
          <w:szCs w:val="22"/>
        </w:rPr>
        <w:t xml:space="preserve"> How Universities Capture, Manage</w:t>
      </w:r>
      <w:r w:rsidR="00A42980">
        <w:rPr>
          <w:rStyle w:val="SubtleEmphasis"/>
          <w:rFonts w:ascii="Arial" w:hAnsi="Arial" w:cs="Arial"/>
          <w:color w:val="000000" w:themeColor="text1"/>
          <w:sz w:val="22"/>
          <w:szCs w:val="22"/>
        </w:rPr>
        <w:t xml:space="preserve"> and Monetize Intellectual Property)</w:t>
      </w:r>
      <w:r w:rsidR="00EA51DD">
        <w:rPr>
          <w:rStyle w:val="SubtleEmphasis"/>
          <w:rFonts w:ascii="Arial" w:hAnsi="Arial" w:cs="Arial"/>
          <w:i w:val="0"/>
          <w:color w:val="000000" w:themeColor="text1"/>
          <w:sz w:val="22"/>
          <w:szCs w:val="22"/>
        </w:rPr>
        <w:t>,</w:t>
      </w:r>
      <w:r w:rsidR="00A13D51" w:rsidRPr="00A13D51">
        <w:rPr>
          <w:rStyle w:val="SubtleEmphasis"/>
          <w:rFonts w:ascii="Arial" w:hAnsi="Arial" w:cs="Arial"/>
          <w:i w:val="0"/>
          <w:color w:val="000000" w:themeColor="text1"/>
          <w:sz w:val="22"/>
          <w:szCs w:val="22"/>
        </w:rPr>
        <w:t xml:space="preserve"> </w:t>
      </w:r>
      <w:r w:rsidR="00AD199B">
        <w:rPr>
          <w:rStyle w:val="SubtleEmphasis"/>
          <w:rFonts w:ascii="Arial" w:hAnsi="Arial" w:cs="Arial"/>
          <w:i w:val="0"/>
          <w:color w:val="000000" w:themeColor="text1"/>
          <w:sz w:val="22"/>
          <w:szCs w:val="22"/>
        </w:rPr>
        <w:t xml:space="preserve">and </w:t>
      </w:r>
      <w:r w:rsidR="00A42980">
        <w:rPr>
          <w:rStyle w:val="SubtleEmphasis"/>
          <w:rFonts w:ascii="Arial" w:hAnsi="Arial" w:cs="Arial"/>
          <w:i w:val="0"/>
          <w:color w:val="000000" w:themeColor="text1"/>
          <w:sz w:val="22"/>
          <w:szCs w:val="22"/>
        </w:rPr>
        <w:t>Jonathan Moreno, Silfen University Professor at the University of Pennsylvania (</w:t>
      </w:r>
      <w:r w:rsidR="00A42980">
        <w:rPr>
          <w:rStyle w:val="SubtleEmphasis"/>
          <w:rFonts w:ascii="Arial" w:hAnsi="Arial" w:cs="Arial"/>
          <w:color w:val="000000" w:themeColor="text1"/>
          <w:sz w:val="22"/>
          <w:szCs w:val="22"/>
        </w:rPr>
        <w:t>Mind Wars:  Brain Science and the Military in the 21</w:t>
      </w:r>
      <w:r w:rsidR="00A42980" w:rsidRPr="00A42980">
        <w:rPr>
          <w:rStyle w:val="SubtleEmphasis"/>
          <w:rFonts w:ascii="Arial" w:hAnsi="Arial" w:cs="Arial"/>
          <w:color w:val="000000" w:themeColor="text1"/>
          <w:sz w:val="22"/>
          <w:szCs w:val="22"/>
          <w:vertAlign w:val="superscript"/>
        </w:rPr>
        <w:t>st</w:t>
      </w:r>
      <w:r w:rsidR="00A42980">
        <w:rPr>
          <w:rStyle w:val="SubtleEmphasis"/>
          <w:rFonts w:ascii="Arial" w:hAnsi="Arial" w:cs="Arial"/>
          <w:color w:val="000000" w:themeColor="text1"/>
          <w:sz w:val="22"/>
          <w:szCs w:val="22"/>
        </w:rPr>
        <w:t xml:space="preserve"> Century</w:t>
      </w:r>
      <w:r w:rsidR="00A42980">
        <w:rPr>
          <w:rStyle w:val="SubtleEmphasis"/>
          <w:rFonts w:ascii="Arial" w:hAnsi="Arial" w:cs="Arial"/>
          <w:i w:val="0"/>
          <w:color w:val="000000" w:themeColor="text1"/>
          <w:sz w:val="22"/>
          <w:szCs w:val="22"/>
        </w:rPr>
        <w:t>)</w:t>
      </w:r>
      <w:r w:rsidR="0091402B">
        <w:rPr>
          <w:rStyle w:val="SubtleEmphasis"/>
          <w:rFonts w:ascii="Arial" w:hAnsi="Arial" w:cs="Arial"/>
          <w:i w:val="0"/>
          <w:color w:val="000000" w:themeColor="text1"/>
          <w:sz w:val="22"/>
          <w:szCs w:val="22"/>
        </w:rPr>
        <w:t>, Ross McKinney, MD, formerly at Duke University, now at the AAMC (</w:t>
      </w:r>
      <w:r w:rsidR="0091402B" w:rsidRPr="00EF5726">
        <w:rPr>
          <w:rStyle w:val="SubtleEmphasis"/>
          <w:rFonts w:ascii="Arial" w:hAnsi="Arial" w:cs="Arial"/>
          <w:color w:val="000000" w:themeColor="text1"/>
          <w:sz w:val="22"/>
          <w:szCs w:val="22"/>
        </w:rPr>
        <w:t>Conflict of Inter</w:t>
      </w:r>
      <w:r w:rsidR="0091402B">
        <w:rPr>
          <w:rStyle w:val="SubtleEmphasis"/>
          <w:rFonts w:ascii="Arial" w:hAnsi="Arial" w:cs="Arial"/>
          <w:color w:val="000000" w:themeColor="text1"/>
          <w:sz w:val="22"/>
          <w:szCs w:val="22"/>
        </w:rPr>
        <w:t>e</w:t>
      </w:r>
      <w:r w:rsidR="0091402B" w:rsidRPr="00EF5726">
        <w:rPr>
          <w:rStyle w:val="SubtleEmphasis"/>
          <w:rFonts w:ascii="Arial" w:hAnsi="Arial" w:cs="Arial"/>
          <w:color w:val="000000" w:themeColor="text1"/>
          <w:sz w:val="22"/>
          <w:szCs w:val="22"/>
        </w:rPr>
        <w:t>st in Human Subject Research</w:t>
      </w:r>
      <w:r w:rsidR="0091402B">
        <w:rPr>
          <w:rStyle w:val="SubtleEmphasis"/>
          <w:rFonts w:ascii="Arial" w:hAnsi="Arial" w:cs="Arial"/>
          <w:i w:val="0"/>
          <w:color w:val="000000" w:themeColor="text1"/>
          <w:sz w:val="22"/>
          <w:szCs w:val="22"/>
        </w:rPr>
        <w:t>)</w:t>
      </w:r>
      <w:r w:rsidR="00A42980">
        <w:rPr>
          <w:rStyle w:val="SubtleEmphasis"/>
          <w:rFonts w:ascii="Arial" w:hAnsi="Arial" w:cs="Arial"/>
          <w:i w:val="0"/>
          <w:color w:val="000000" w:themeColor="text1"/>
          <w:sz w:val="22"/>
          <w:szCs w:val="22"/>
        </w:rPr>
        <w:t>.</w:t>
      </w:r>
      <w:r w:rsidR="00C56090">
        <w:rPr>
          <w:rStyle w:val="SubtleEmphasis"/>
          <w:rFonts w:ascii="Arial" w:hAnsi="Arial" w:cs="Arial"/>
          <w:i w:val="0"/>
          <w:color w:val="000000" w:themeColor="text1"/>
          <w:sz w:val="22"/>
          <w:szCs w:val="22"/>
        </w:rPr>
        <w:t xml:space="preserve">  The Sanger Lectures in 2018 </w:t>
      </w:r>
      <w:r w:rsidR="002E42E1">
        <w:rPr>
          <w:rStyle w:val="SubtleEmphasis"/>
          <w:rFonts w:ascii="Arial" w:hAnsi="Arial" w:cs="Arial"/>
          <w:i w:val="0"/>
          <w:color w:val="000000" w:themeColor="text1"/>
          <w:sz w:val="22"/>
          <w:szCs w:val="22"/>
        </w:rPr>
        <w:t>commemorat</w:t>
      </w:r>
      <w:r w:rsidR="00EF08C0">
        <w:rPr>
          <w:rStyle w:val="SubtleEmphasis"/>
          <w:rFonts w:ascii="Arial" w:hAnsi="Arial" w:cs="Arial"/>
          <w:i w:val="0"/>
          <w:color w:val="000000" w:themeColor="text1"/>
          <w:sz w:val="22"/>
          <w:szCs w:val="22"/>
        </w:rPr>
        <w:t xml:space="preserve">ed </w:t>
      </w:r>
      <w:r w:rsidR="002E42E1">
        <w:rPr>
          <w:rStyle w:val="SubtleEmphasis"/>
          <w:rFonts w:ascii="Arial" w:hAnsi="Arial" w:cs="Arial"/>
          <w:i w:val="0"/>
          <w:color w:val="000000" w:themeColor="text1"/>
          <w:sz w:val="22"/>
          <w:szCs w:val="22"/>
        </w:rPr>
        <w:t xml:space="preserve">the centennial of the 1918 influenza epidemic.   </w:t>
      </w:r>
      <w:r w:rsidR="00EA51DD">
        <w:rPr>
          <w:rStyle w:val="SubtleEmphasis"/>
          <w:rFonts w:ascii="Arial" w:hAnsi="Arial" w:cs="Arial"/>
          <w:i w:val="0"/>
          <w:color w:val="000000" w:themeColor="text1"/>
          <w:sz w:val="22"/>
          <w:szCs w:val="22"/>
        </w:rPr>
        <w:t xml:space="preserve"> </w:t>
      </w:r>
      <w:r w:rsidR="002E42E1">
        <w:rPr>
          <w:rStyle w:val="SubtleEmphasis"/>
          <w:rFonts w:ascii="Arial" w:hAnsi="Arial" w:cs="Arial"/>
          <w:i w:val="0"/>
          <w:color w:val="000000" w:themeColor="text1"/>
          <w:sz w:val="22"/>
          <w:szCs w:val="22"/>
        </w:rPr>
        <w:t>In February</w:t>
      </w:r>
      <w:r w:rsidR="00B549F3">
        <w:rPr>
          <w:rStyle w:val="SubtleEmphasis"/>
          <w:rFonts w:ascii="Arial" w:hAnsi="Arial" w:cs="Arial"/>
          <w:i w:val="0"/>
          <w:color w:val="000000" w:themeColor="text1"/>
          <w:sz w:val="22"/>
          <w:szCs w:val="22"/>
        </w:rPr>
        <w:t xml:space="preserve"> 2019</w:t>
      </w:r>
      <w:r w:rsidR="002E42E1">
        <w:rPr>
          <w:rStyle w:val="SubtleEmphasis"/>
          <w:rFonts w:ascii="Arial" w:hAnsi="Arial" w:cs="Arial"/>
          <w:i w:val="0"/>
          <w:color w:val="000000" w:themeColor="text1"/>
          <w:sz w:val="22"/>
          <w:szCs w:val="22"/>
        </w:rPr>
        <w:t xml:space="preserve">, </w:t>
      </w:r>
      <w:r w:rsidR="00EA51DD">
        <w:rPr>
          <w:rStyle w:val="SubtleEmphasis"/>
          <w:rFonts w:ascii="Arial" w:hAnsi="Arial" w:cs="Arial"/>
          <w:i w:val="0"/>
          <w:color w:val="000000" w:themeColor="text1"/>
          <w:sz w:val="22"/>
          <w:szCs w:val="22"/>
        </w:rPr>
        <w:t>Jeffrey Taubenberger</w:t>
      </w:r>
      <w:r w:rsidR="002E42E1">
        <w:rPr>
          <w:rStyle w:val="SubtleEmphasis"/>
          <w:rFonts w:ascii="Arial" w:hAnsi="Arial" w:cs="Arial"/>
          <w:i w:val="0"/>
          <w:color w:val="000000" w:themeColor="text1"/>
          <w:sz w:val="22"/>
          <w:szCs w:val="22"/>
        </w:rPr>
        <w:t xml:space="preserve"> (NIAID Investigator, and an MD-PhD VCU graduate) spoke on viral pathogenesis including dual use research of concern</w:t>
      </w:r>
      <w:r w:rsidR="00EA51DD" w:rsidRPr="00EA51DD">
        <w:rPr>
          <w:rStyle w:val="SubtleEmphasis"/>
          <w:rFonts w:ascii="Arial" w:hAnsi="Arial" w:cs="Arial"/>
          <w:i w:val="0"/>
          <w:color w:val="000000" w:themeColor="text1"/>
          <w:sz w:val="22"/>
          <w:szCs w:val="22"/>
        </w:rPr>
        <w:t>.</w:t>
      </w:r>
      <w:r w:rsidR="00A42980">
        <w:rPr>
          <w:rStyle w:val="SubtleEmphasis"/>
          <w:rFonts w:ascii="Arial" w:hAnsi="Arial" w:cs="Arial"/>
          <w:i w:val="0"/>
          <w:color w:val="000000" w:themeColor="text1"/>
          <w:sz w:val="22"/>
          <w:szCs w:val="22"/>
        </w:rPr>
        <w:t xml:space="preserve">  </w:t>
      </w:r>
      <w:r w:rsidR="002E42E1">
        <w:rPr>
          <w:rStyle w:val="SubtleEmphasis"/>
          <w:rFonts w:ascii="Arial" w:hAnsi="Arial" w:cs="Arial"/>
          <w:i w:val="0"/>
          <w:color w:val="000000" w:themeColor="text1"/>
          <w:sz w:val="22"/>
          <w:szCs w:val="22"/>
        </w:rPr>
        <w:t>In October</w:t>
      </w:r>
      <w:r w:rsidR="0078192C">
        <w:rPr>
          <w:rStyle w:val="SubtleEmphasis"/>
          <w:rFonts w:ascii="Arial" w:hAnsi="Arial" w:cs="Arial"/>
          <w:i w:val="0"/>
          <w:color w:val="000000" w:themeColor="text1"/>
          <w:sz w:val="22"/>
          <w:szCs w:val="22"/>
        </w:rPr>
        <w:t xml:space="preserve"> 2018, </w:t>
      </w:r>
      <w:r w:rsidR="002E42E1">
        <w:rPr>
          <w:rStyle w:val="SubtleEmphasis"/>
          <w:rFonts w:ascii="Arial" w:hAnsi="Arial" w:cs="Arial"/>
          <w:i w:val="0"/>
          <w:color w:val="000000" w:themeColor="text1"/>
          <w:sz w:val="22"/>
          <w:szCs w:val="22"/>
        </w:rPr>
        <w:t xml:space="preserve">Gina Kolata (New York Times Science writer and author of the book “Flu”) </w:t>
      </w:r>
      <w:r w:rsidR="0078192C">
        <w:rPr>
          <w:rStyle w:val="SubtleEmphasis"/>
          <w:rFonts w:ascii="Arial" w:hAnsi="Arial" w:cs="Arial"/>
          <w:i w:val="0"/>
          <w:color w:val="000000" w:themeColor="text1"/>
          <w:sz w:val="22"/>
          <w:szCs w:val="22"/>
        </w:rPr>
        <w:t>g</w:t>
      </w:r>
      <w:r w:rsidR="00EF08C0">
        <w:rPr>
          <w:rStyle w:val="SubtleEmphasis"/>
          <w:rFonts w:ascii="Arial" w:hAnsi="Arial" w:cs="Arial"/>
          <w:i w:val="0"/>
          <w:color w:val="000000" w:themeColor="text1"/>
          <w:sz w:val="22"/>
          <w:szCs w:val="22"/>
        </w:rPr>
        <w:t>a</w:t>
      </w:r>
      <w:r w:rsidR="0078192C">
        <w:rPr>
          <w:rStyle w:val="SubtleEmphasis"/>
          <w:rFonts w:ascii="Arial" w:hAnsi="Arial" w:cs="Arial"/>
          <w:i w:val="0"/>
          <w:color w:val="000000" w:themeColor="text1"/>
          <w:sz w:val="22"/>
          <w:szCs w:val="22"/>
        </w:rPr>
        <w:t xml:space="preserve">ve </w:t>
      </w:r>
      <w:r w:rsidR="002E42E1">
        <w:rPr>
          <w:rStyle w:val="SubtleEmphasis"/>
          <w:rFonts w:ascii="Arial" w:hAnsi="Arial" w:cs="Arial"/>
          <w:i w:val="0"/>
          <w:color w:val="000000" w:themeColor="text1"/>
          <w:sz w:val="22"/>
          <w:szCs w:val="22"/>
        </w:rPr>
        <w:t xml:space="preserve">the second Sanger Series lecture on this topic.    </w:t>
      </w:r>
      <w:r w:rsidR="006D57D3">
        <w:rPr>
          <w:rStyle w:val="SubtleEmphasis"/>
          <w:rFonts w:ascii="Arial" w:hAnsi="Arial" w:cs="Arial"/>
          <w:i w:val="0"/>
          <w:color w:val="000000" w:themeColor="text1"/>
          <w:sz w:val="22"/>
          <w:szCs w:val="22"/>
        </w:rPr>
        <w:t>______</w:t>
      </w:r>
      <w:r w:rsidR="0078192C">
        <w:rPr>
          <w:rStyle w:val="SubtleEmphasis"/>
          <w:rFonts w:ascii="Arial" w:hAnsi="Arial" w:cs="Arial"/>
          <w:i w:val="0"/>
          <w:color w:val="000000" w:themeColor="text1"/>
          <w:sz w:val="22"/>
          <w:szCs w:val="22"/>
        </w:rPr>
        <w:t xml:space="preserve"> scholars </w:t>
      </w:r>
      <w:r w:rsidR="00B549F3">
        <w:rPr>
          <w:rStyle w:val="SubtleEmphasis"/>
          <w:rFonts w:ascii="Arial" w:hAnsi="Arial" w:cs="Arial"/>
          <w:i w:val="0"/>
          <w:color w:val="000000" w:themeColor="text1"/>
          <w:sz w:val="22"/>
          <w:szCs w:val="22"/>
        </w:rPr>
        <w:t>are highly encouraged</w:t>
      </w:r>
      <w:r w:rsidR="0072033E">
        <w:rPr>
          <w:rStyle w:val="SubtleEmphasis"/>
          <w:rFonts w:ascii="Arial" w:hAnsi="Arial" w:cs="Arial"/>
          <w:i w:val="0"/>
          <w:color w:val="000000" w:themeColor="text1"/>
          <w:sz w:val="22"/>
          <w:szCs w:val="22"/>
        </w:rPr>
        <w:t xml:space="preserve"> to attend </w:t>
      </w:r>
      <w:r w:rsidR="00C13E41">
        <w:rPr>
          <w:rStyle w:val="SubtleEmphasis"/>
          <w:rFonts w:ascii="Arial" w:hAnsi="Arial" w:cs="Arial"/>
          <w:i w:val="0"/>
          <w:color w:val="000000" w:themeColor="text1"/>
          <w:sz w:val="22"/>
          <w:szCs w:val="22"/>
        </w:rPr>
        <w:t>Sanger Series Lectures</w:t>
      </w:r>
      <w:r w:rsidR="0078192C">
        <w:rPr>
          <w:rStyle w:val="SubtleEmphasis"/>
          <w:rFonts w:ascii="Arial" w:hAnsi="Arial" w:cs="Arial"/>
          <w:i w:val="0"/>
          <w:color w:val="000000" w:themeColor="text1"/>
          <w:sz w:val="22"/>
          <w:szCs w:val="22"/>
        </w:rPr>
        <w:t xml:space="preserve"> during their tenure in the program.</w:t>
      </w:r>
      <w:r w:rsidR="00B549F3">
        <w:rPr>
          <w:rStyle w:val="SubtleEmphasis"/>
          <w:rFonts w:ascii="Arial" w:hAnsi="Arial" w:cs="Arial"/>
          <w:i w:val="0"/>
          <w:color w:val="000000" w:themeColor="text1"/>
          <w:sz w:val="22"/>
          <w:szCs w:val="22"/>
        </w:rPr>
        <w:t xml:space="preserve">  In addition to Sanger Lectures, the VCU Libraries and the Center for Clinical and Translational Research offer presentations that relate to topics in scientific integrity throughout the year.  </w:t>
      </w:r>
      <w:r w:rsidR="00BE62B2">
        <w:rPr>
          <w:rStyle w:val="SubtleEmphasis"/>
          <w:rFonts w:ascii="Arial" w:hAnsi="Arial" w:cs="Arial"/>
          <w:i w:val="0"/>
          <w:color w:val="000000" w:themeColor="text1"/>
          <w:sz w:val="22"/>
          <w:szCs w:val="22"/>
        </w:rPr>
        <w:t xml:space="preserve">Although the Sanger Series is </w:t>
      </w:r>
      <w:r w:rsidR="00514C19">
        <w:rPr>
          <w:rStyle w:val="SubtleEmphasis"/>
          <w:rFonts w:ascii="Arial" w:hAnsi="Arial" w:cs="Arial"/>
          <w:i w:val="0"/>
          <w:color w:val="000000" w:themeColor="text1"/>
          <w:sz w:val="22"/>
          <w:szCs w:val="22"/>
        </w:rPr>
        <w:t xml:space="preserve">currently </w:t>
      </w:r>
      <w:r w:rsidR="00BE62B2">
        <w:rPr>
          <w:rStyle w:val="SubtleEmphasis"/>
          <w:rFonts w:ascii="Arial" w:hAnsi="Arial" w:cs="Arial"/>
          <w:i w:val="0"/>
          <w:color w:val="000000" w:themeColor="text1"/>
          <w:sz w:val="22"/>
          <w:szCs w:val="22"/>
        </w:rPr>
        <w:t xml:space="preserve">on hiatus, the VCU Libraries continue to offer programs relevant to RCR education.  In addition, </w:t>
      </w:r>
      <w:r w:rsidR="009C1E6C">
        <w:rPr>
          <w:rStyle w:val="SubtleEmphasis"/>
          <w:rFonts w:ascii="Arial" w:hAnsi="Arial" w:cs="Arial"/>
          <w:i w:val="0"/>
          <w:color w:val="000000" w:themeColor="text1"/>
          <w:sz w:val="22"/>
          <w:szCs w:val="22"/>
        </w:rPr>
        <w:t xml:space="preserve">members of the office </w:t>
      </w:r>
      <w:proofErr w:type="gramStart"/>
      <w:r w:rsidR="009C1E6C">
        <w:rPr>
          <w:rStyle w:val="SubtleEmphasis"/>
          <w:rFonts w:ascii="Arial" w:hAnsi="Arial" w:cs="Arial"/>
          <w:i w:val="0"/>
          <w:color w:val="000000" w:themeColor="text1"/>
          <w:sz w:val="22"/>
          <w:szCs w:val="22"/>
        </w:rPr>
        <w:t>of  research</w:t>
      </w:r>
      <w:proofErr w:type="gramEnd"/>
      <w:r w:rsidR="009C1E6C">
        <w:rPr>
          <w:rStyle w:val="SubtleEmphasis"/>
          <w:rFonts w:ascii="Arial" w:hAnsi="Arial" w:cs="Arial"/>
          <w:i w:val="0"/>
          <w:color w:val="000000" w:themeColor="text1"/>
          <w:sz w:val="22"/>
          <w:szCs w:val="22"/>
        </w:rPr>
        <w:t xml:space="preserve"> integrity and ethics offer frequent</w:t>
      </w:r>
      <w:r w:rsidR="00BE62B2">
        <w:rPr>
          <w:rStyle w:val="SubtleEmphasis"/>
          <w:rFonts w:ascii="Arial" w:hAnsi="Arial" w:cs="Arial"/>
          <w:i w:val="0"/>
          <w:color w:val="000000" w:themeColor="text1"/>
          <w:sz w:val="22"/>
          <w:szCs w:val="22"/>
        </w:rPr>
        <w:t xml:space="preserve"> RCR-related presentations across the university to faculty and/or student groups as part of orientation programming, lunch time seminars, course lectures, and faculty departmental meetings.</w:t>
      </w:r>
    </w:p>
    <w:p w14:paraId="03370F83" w14:textId="77777777" w:rsidR="00B96356" w:rsidRDefault="00B96356" w:rsidP="0029362F">
      <w:pPr>
        <w:rPr>
          <w:rStyle w:val="SubtleEmphasis"/>
          <w:rFonts w:ascii="Arial" w:hAnsi="Arial" w:cs="Arial"/>
          <w:i w:val="0"/>
          <w:color w:val="000000" w:themeColor="text1"/>
          <w:sz w:val="22"/>
          <w:szCs w:val="22"/>
        </w:rPr>
      </w:pPr>
    </w:p>
    <w:p w14:paraId="1A89B364" w14:textId="7A851754" w:rsidR="004124FD" w:rsidRDefault="00CE3883" w:rsidP="0029362F">
      <w:pPr>
        <w:rPr>
          <w:rFonts w:ascii="Arial" w:hAnsi="Arial" w:cs="Arial"/>
          <w:sz w:val="22"/>
          <w:szCs w:val="22"/>
        </w:rPr>
      </w:pPr>
      <w:r w:rsidRPr="00CE3883">
        <w:rPr>
          <w:rFonts w:ascii="Arial" w:hAnsi="Arial" w:cs="Arial"/>
          <w:sz w:val="22"/>
        </w:rPr>
        <w:t>The Office of the Vice President for Research and Innovation has created and hosts an institutional Data Science initiative.  The overarching goal of this initiative is to ensure the integrity, transparency, and reproducibility of the research record at VCU.  VCU has executed an MOU with the Center for Open Science and is registered as an Open Science Framework (OSF) institution. The OSF is a mature platform offering options for publicly accessible data storage and sharing, and connectivity of workflows.   As an OSF institution, VCU is afforded a layer of service that allows a single sign-on, as well as a branded landing page that enables connecting to local data repositories.  This service to VCU facu</w:t>
      </w:r>
      <w:r w:rsidR="00521CE9">
        <w:rPr>
          <w:rFonts w:ascii="Arial" w:hAnsi="Arial" w:cs="Arial"/>
          <w:sz w:val="22"/>
        </w:rPr>
        <w:t>l</w:t>
      </w:r>
      <w:r w:rsidRPr="00CE3883">
        <w:rPr>
          <w:rFonts w:ascii="Arial" w:hAnsi="Arial" w:cs="Arial"/>
          <w:sz w:val="22"/>
        </w:rPr>
        <w:t>ty, trainees, and students and comes with its own analytics page that can provide useful insight on the impact of research beyond citation number.  In 2018 the OSF announced that its enrollment reached 100,000 users. At present, VCU has the largest number of users of any single institution. </w:t>
      </w:r>
      <w:r w:rsidRPr="00CE3883" w:rsidDel="00211096">
        <w:rPr>
          <w:rFonts w:ascii="Arial" w:hAnsi="Arial" w:cs="Arial"/>
          <w:sz w:val="22"/>
        </w:rPr>
        <w:t xml:space="preserve"> The Data Science initiative is directed by faculty member, Dr. Tim York, who is supported in part by the OVPRI.  Dr. York, a member of the Human &amp; Molecular Genetics Department, </w:t>
      </w:r>
      <w:r w:rsidR="00521CE9" w:rsidDel="00211096">
        <w:rPr>
          <w:rFonts w:ascii="Arial" w:hAnsi="Arial" w:cs="Arial"/>
          <w:sz w:val="22"/>
        </w:rPr>
        <w:t>as well as</w:t>
      </w:r>
      <w:r w:rsidRPr="00CE3883" w:rsidDel="00211096">
        <w:rPr>
          <w:rFonts w:ascii="Arial" w:hAnsi="Arial" w:cs="Arial"/>
          <w:sz w:val="22"/>
        </w:rPr>
        <w:t xml:space="preserve"> select graduate students continue to develop a rigor, reproducibility, and open science training platform in cooperation with relevant institutional programs and departments. He </w:t>
      </w:r>
      <w:r w:rsidR="009C1E6C">
        <w:rPr>
          <w:rFonts w:ascii="Arial" w:hAnsi="Arial" w:cs="Arial"/>
          <w:sz w:val="22"/>
        </w:rPr>
        <w:t xml:space="preserve">and colleague, Dr. Dana Lapato </w:t>
      </w:r>
      <w:r w:rsidRPr="00CE3883" w:rsidDel="00211096">
        <w:rPr>
          <w:rFonts w:ascii="Arial" w:hAnsi="Arial" w:cs="Arial"/>
          <w:sz w:val="22"/>
        </w:rPr>
        <w:t xml:space="preserve">teach </w:t>
      </w:r>
      <w:r w:rsidR="009C1E6C">
        <w:rPr>
          <w:rFonts w:ascii="Arial" w:hAnsi="Arial" w:cs="Arial"/>
          <w:sz w:val="22"/>
        </w:rPr>
        <w:t xml:space="preserve">data science </w:t>
      </w:r>
      <w:r w:rsidRPr="00CE3883" w:rsidDel="00211096">
        <w:rPr>
          <w:rFonts w:ascii="Arial" w:hAnsi="Arial" w:cs="Arial"/>
          <w:sz w:val="22"/>
        </w:rPr>
        <w:t xml:space="preserve">courses which are open to graduate students across the university.  </w:t>
      </w:r>
      <w:r w:rsidR="009C1E6C">
        <w:rPr>
          <w:rFonts w:ascii="Arial" w:hAnsi="Arial" w:cs="Arial"/>
          <w:sz w:val="22"/>
        </w:rPr>
        <w:t>Both Dr. York and Dr. Lapato present in</w:t>
      </w:r>
      <w:r w:rsidR="0061690D">
        <w:rPr>
          <w:rFonts w:ascii="Arial" w:hAnsi="Arial" w:cs="Arial"/>
          <w:sz w:val="22"/>
        </w:rPr>
        <w:t xml:space="preserve"> </w:t>
      </w:r>
      <w:r w:rsidRPr="00CE3883" w:rsidDel="00211096">
        <w:rPr>
          <w:rFonts w:ascii="Arial" w:hAnsi="Arial" w:cs="Arial"/>
          <w:sz w:val="22"/>
        </w:rPr>
        <w:t>VCU RCR courses</w:t>
      </w:r>
      <w:r w:rsidR="0061690D">
        <w:rPr>
          <w:rFonts w:ascii="Arial" w:hAnsi="Arial" w:cs="Arial"/>
          <w:sz w:val="22"/>
        </w:rPr>
        <w:t xml:space="preserve"> and give regular presentations about OSF for university-wide audiences</w:t>
      </w:r>
      <w:r w:rsidRPr="00CE3883" w:rsidDel="00211096">
        <w:rPr>
          <w:rFonts w:ascii="Arial" w:hAnsi="Arial" w:cs="Arial"/>
          <w:sz w:val="22"/>
        </w:rPr>
        <w:t>.</w:t>
      </w:r>
      <w:r w:rsidRPr="00CE3883">
        <w:rPr>
          <w:rFonts w:ascii="Arial" w:hAnsi="Arial" w:cs="Arial"/>
          <w:sz w:val="22"/>
        </w:rPr>
        <w:t xml:space="preserve">  </w:t>
      </w:r>
    </w:p>
    <w:sectPr w:rsidR="004124FD" w:rsidSect="0072033E">
      <w:pgSz w:w="12240" w:h="15840"/>
      <w:pgMar w:top="900" w:right="90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7492" w14:textId="77777777" w:rsidR="00736E7A" w:rsidRDefault="00736E7A" w:rsidP="009319E7">
      <w:r>
        <w:separator/>
      </w:r>
    </w:p>
  </w:endnote>
  <w:endnote w:type="continuationSeparator" w:id="0">
    <w:p w14:paraId="6ABF3BD3" w14:textId="77777777" w:rsidR="00736E7A" w:rsidRDefault="00736E7A" w:rsidP="0093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E24D" w14:textId="77777777" w:rsidR="00736E7A" w:rsidRDefault="00736E7A" w:rsidP="009319E7">
      <w:r>
        <w:separator/>
      </w:r>
    </w:p>
  </w:footnote>
  <w:footnote w:type="continuationSeparator" w:id="0">
    <w:p w14:paraId="290A3562" w14:textId="77777777" w:rsidR="00736E7A" w:rsidRDefault="00736E7A" w:rsidP="00931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6A4D"/>
    <w:multiLevelType w:val="hybridMultilevel"/>
    <w:tmpl w:val="529456FC"/>
    <w:lvl w:ilvl="0" w:tplc="89A61216">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C1F7D3F"/>
    <w:multiLevelType w:val="multilevel"/>
    <w:tmpl w:val="686A3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D434888"/>
    <w:multiLevelType w:val="multilevel"/>
    <w:tmpl w:val="7C6CE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9940DB"/>
    <w:multiLevelType w:val="multilevel"/>
    <w:tmpl w:val="BAB89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7E0291"/>
    <w:multiLevelType w:val="multilevel"/>
    <w:tmpl w:val="3200B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188683B"/>
    <w:multiLevelType w:val="multilevel"/>
    <w:tmpl w:val="F250A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D4C505C"/>
    <w:multiLevelType w:val="multilevel"/>
    <w:tmpl w:val="32A2F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9E851C9"/>
    <w:multiLevelType w:val="multilevel"/>
    <w:tmpl w:val="C874B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F2C78B7"/>
    <w:multiLevelType w:val="multilevel"/>
    <w:tmpl w:val="98A2E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811044C"/>
    <w:multiLevelType w:val="multilevel"/>
    <w:tmpl w:val="0622A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86192835">
    <w:abstractNumId w:val="0"/>
  </w:num>
  <w:num w:numId="2" w16cid:durableId="1763187200">
    <w:abstractNumId w:val="2"/>
  </w:num>
  <w:num w:numId="3" w16cid:durableId="722876083">
    <w:abstractNumId w:val="4"/>
  </w:num>
  <w:num w:numId="4" w16cid:durableId="1689216729">
    <w:abstractNumId w:val="9"/>
  </w:num>
  <w:num w:numId="5" w16cid:durableId="123623044">
    <w:abstractNumId w:val="8"/>
  </w:num>
  <w:num w:numId="6" w16cid:durableId="42992901">
    <w:abstractNumId w:val="3"/>
  </w:num>
  <w:num w:numId="7" w16cid:durableId="1215510862">
    <w:abstractNumId w:val="5"/>
  </w:num>
  <w:num w:numId="8" w16cid:durableId="1745949240">
    <w:abstractNumId w:val="6"/>
  </w:num>
  <w:num w:numId="9" w16cid:durableId="1930042602">
    <w:abstractNumId w:val="1"/>
  </w:num>
  <w:num w:numId="10" w16cid:durableId="1584535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2B"/>
    <w:rsid w:val="00003589"/>
    <w:rsid w:val="00005F69"/>
    <w:rsid w:val="00054951"/>
    <w:rsid w:val="00062502"/>
    <w:rsid w:val="00065546"/>
    <w:rsid w:val="00065810"/>
    <w:rsid w:val="000A0D10"/>
    <w:rsid w:val="000A5849"/>
    <w:rsid w:val="000B11EE"/>
    <w:rsid w:val="00120E52"/>
    <w:rsid w:val="0017178D"/>
    <w:rsid w:val="00177437"/>
    <w:rsid w:val="00182B06"/>
    <w:rsid w:val="00187453"/>
    <w:rsid w:val="00194B70"/>
    <w:rsid w:val="00194B7C"/>
    <w:rsid w:val="001A4374"/>
    <w:rsid w:val="0021028A"/>
    <w:rsid w:val="00211096"/>
    <w:rsid w:val="00233B8E"/>
    <w:rsid w:val="00235CD2"/>
    <w:rsid w:val="00274803"/>
    <w:rsid w:val="00287E1F"/>
    <w:rsid w:val="0029320F"/>
    <w:rsid w:val="0029362F"/>
    <w:rsid w:val="002A314F"/>
    <w:rsid w:val="002B0FF9"/>
    <w:rsid w:val="002E42E1"/>
    <w:rsid w:val="00315BBC"/>
    <w:rsid w:val="00331E9D"/>
    <w:rsid w:val="00340E44"/>
    <w:rsid w:val="003937BE"/>
    <w:rsid w:val="003A253D"/>
    <w:rsid w:val="003E04CA"/>
    <w:rsid w:val="00410992"/>
    <w:rsid w:val="004124FD"/>
    <w:rsid w:val="00424269"/>
    <w:rsid w:val="004242C6"/>
    <w:rsid w:val="00451696"/>
    <w:rsid w:val="004B0A74"/>
    <w:rsid w:val="004C4160"/>
    <w:rsid w:val="00500173"/>
    <w:rsid w:val="00514C19"/>
    <w:rsid w:val="00520E21"/>
    <w:rsid w:val="00521CE9"/>
    <w:rsid w:val="00523356"/>
    <w:rsid w:val="00530A72"/>
    <w:rsid w:val="005345A7"/>
    <w:rsid w:val="0054469E"/>
    <w:rsid w:val="00574E27"/>
    <w:rsid w:val="00594A50"/>
    <w:rsid w:val="005C2996"/>
    <w:rsid w:val="005C64DB"/>
    <w:rsid w:val="005D0985"/>
    <w:rsid w:val="005D2919"/>
    <w:rsid w:val="005E10B5"/>
    <w:rsid w:val="005E13F8"/>
    <w:rsid w:val="005E2294"/>
    <w:rsid w:val="005F3C50"/>
    <w:rsid w:val="00612EE8"/>
    <w:rsid w:val="0061690D"/>
    <w:rsid w:val="00652024"/>
    <w:rsid w:val="00675040"/>
    <w:rsid w:val="006A6091"/>
    <w:rsid w:val="006D0E29"/>
    <w:rsid w:val="006D57D3"/>
    <w:rsid w:val="00715A4C"/>
    <w:rsid w:val="0072033E"/>
    <w:rsid w:val="007204DF"/>
    <w:rsid w:val="00736E7A"/>
    <w:rsid w:val="0077042C"/>
    <w:rsid w:val="0078192C"/>
    <w:rsid w:val="0079087A"/>
    <w:rsid w:val="00790A51"/>
    <w:rsid w:val="007A3765"/>
    <w:rsid w:val="007B6EF9"/>
    <w:rsid w:val="007D22B8"/>
    <w:rsid w:val="007E51AF"/>
    <w:rsid w:val="008242BA"/>
    <w:rsid w:val="00826B96"/>
    <w:rsid w:val="008317FB"/>
    <w:rsid w:val="00834595"/>
    <w:rsid w:val="008570B1"/>
    <w:rsid w:val="0086764A"/>
    <w:rsid w:val="00895B0C"/>
    <w:rsid w:val="008B02DC"/>
    <w:rsid w:val="008D2DC3"/>
    <w:rsid w:val="008D71CD"/>
    <w:rsid w:val="008F04F3"/>
    <w:rsid w:val="0091402B"/>
    <w:rsid w:val="009319E7"/>
    <w:rsid w:val="00950734"/>
    <w:rsid w:val="00960BD4"/>
    <w:rsid w:val="00967F60"/>
    <w:rsid w:val="00997196"/>
    <w:rsid w:val="009A5E50"/>
    <w:rsid w:val="009C1E6C"/>
    <w:rsid w:val="009C2FE1"/>
    <w:rsid w:val="009D0607"/>
    <w:rsid w:val="009D1515"/>
    <w:rsid w:val="00A13D51"/>
    <w:rsid w:val="00A403D5"/>
    <w:rsid w:val="00A42980"/>
    <w:rsid w:val="00A61B08"/>
    <w:rsid w:val="00A63B59"/>
    <w:rsid w:val="00A92235"/>
    <w:rsid w:val="00AA3A59"/>
    <w:rsid w:val="00AC773E"/>
    <w:rsid w:val="00AD199B"/>
    <w:rsid w:val="00B15EBE"/>
    <w:rsid w:val="00B440EE"/>
    <w:rsid w:val="00B546B0"/>
    <w:rsid w:val="00B549F3"/>
    <w:rsid w:val="00B62259"/>
    <w:rsid w:val="00B73AE1"/>
    <w:rsid w:val="00B95488"/>
    <w:rsid w:val="00B96356"/>
    <w:rsid w:val="00BA2728"/>
    <w:rsid w:val="00BE4DA8"/>
    <w:rsid w:val="00BE62B2"/>
    <w:rsid w:val="00C03937"/>
    <w:rsid w:val="00C13E41"/>
    <w:rsid w:val="00C452D4"/>
    <w:rsid w:val="00C45EFE"/>
    <w:rsid w:val="00C50224"/>
    <w:rsid w:val="00C56090"/>
    <w:rsid w:val="00CA642E"/>
    <w:rsid w:val="00CD3069"/>
    <w:rsid w:val="00CE3883"/>
    <w:rsid w:val="00CE7657"/>
    <w:rsid w:val="00CF074B"/>
    <w:rsid w:val="00CF3FF9"/>
    <w:rsid w:val="00D05A0D"/>
    <w:rsid w:val="00D278FD"/>
    <w:rsid w:val="00D56E7B"/>
    <w:rsid w:val="00D60600"/>
    <w:rsid w:val="00D7348A"/>
    <w:rsid w:val="00D80017"/>
    <w:rsid w:val="00D83C86"/>
    <w:rsid w:val="00D95F2C"/>
    <w:rsid w:val="00DB52A0"/>
    <w:rsid w:val="00DC0803"/>
    <w:rsid w:val="00DE2C51"/>
    <w:rsid w:val="00DF1B91"/>
    <w:rsid w:val="00DF4BC6"/>
    <w:rsid w:val="00E03BDB"/>
    <w:rsid w:val="00E17829"/>
    <w:rsid w:val="00E434B2"/>
    <w:rsid w:val="00E57439"/>
    <w:rsid w:val="00E71E35"/>
    <w:rsid w:val="00EA51DD"/>
    <w:rsid w:val="00EB712E"/>
    <w:rsid w:val="00EC2C06"/>
    <w:rsid w:val="00ED1DBF"/>
    <w:rsid w:val="00ED5C5C"/>
    <w:rsid w:val="00EF08C0"/>
    <w:rsid w:val="00EF5726"/>
    <w:rsid w:val="00F02D0B"/>
    <w:rsid w:val="00F17CCF"/>
    <w:rsid w:val="00F5775B"/>
    <w:rsid w:val="00F64F13"/>
    <w:rsid w:val="00F67AB9"/>
    <w:rsid w:val="00F7451C"/>
    <w:rsid w:val="00F8069F"/>
    <w:rsid w:val="00F8680E"/>
    <w:rsid w:val="00F95949"/>
    <w:rsid w:val="00FA3C71"/>
    <w:rsid w:val="00FA51FA"/>
    <w:rsid w:val="00FC2D10"/>
    <w:rsid w:val="00FD112B"/>
    <w:rsid w:val="00FD75B6"/>
    <w:rsid w:val="00FF56D2"/>
    <w:rsid w:val="00FF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1AE70"/>
  <w15:docId w15:val="{C3152CC0-8E20-E34A-8254-F2AC23B0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2B"/>
    <w:pPr>
      <w:widowControl w:val="0"/>
      <w:snapToGrid w:val="0"/>
      <w:spacing w:after="0" w:line="240" w:lineRule="auto"/>
    </w:pPr>
    <w:rPr>
      <w:rFonts w:ascii="CG Times" w:eastAsia="Times New Roman"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340E44"/>
    <w:rPr>
      <w:i/>
      <w:iCs/>
      <w:color w:val="808080" w:themeColor="text1" w:themeTint="7F"/>
    </w:rPr>
  </w:style>
  <w:style w:type="paragraph" w:styleId="ListParagraph">
    <w:name w:val="List Paragraph"/>
    <w:basedOn w:val="Normal"/>
    <w:uiPriority w:val="34"/>
    <w:qFormat/>
    <w:rsid w:val="00FF6192"/>
    <w:pPr>
      <w:ind w:left="720"/>
      <w:contextualSpacing/>
    </w:pPr>
  </w:style>
  <w:style w:type="table" w:styleId="TableGrid">
    <w:name w:val="Table Grid"/>
    <w:basedOn w:val="TableNormal"/>
    <w:uiPriority w:val="59"/>
    <w:rsid w:val="00C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642E"/>
    <w:rPr>
      <w:color w:val="0000FF" w:themeColor="hyperlink"/>
      <w:u w:val="single"/>
    </w:rPr>
  </w:style>
  <w:style w:type="paragraph" w:styleId="BalloonText">
    <w:name w:val="Balloon Text"/>
    <w:basedOn w:val="Normal"/>
    <w:link w:val="BalloonTextChar"/>
    <w:uiPriority w:val="99"/>
    <w:semiHidden/>
    <w:unhideWhenUsed/>
    <w:rsid w:val="00F5775B"/>
    <w:rPr>
      <w:rFonts w:ascii="Tahoma" w:hAnsi="Tahoma" w:cs="Tahoma"/>
      <w:sz w:val="16"/>
      <w:szCs w:val="16"/>
    </w:rPr>
  </w:style>
  <w:style w:type="character" w:customStyle="1" w:styleId="BalloonTextChar">
    <w:name w:val="Balloon Text Char"/>
    <w:basedOn w:val="DefaultParagraphFont"/>
    <w:link w:val="BalloonText"/>
    <w:uiPriority w:val="99"/>
    <w:semiHidden/>
    <w:rsid w:val="00F5775B"/>
    <w:rPr>
      <w:rFonts w:ascii="Tahoma" w:eastAsia="Times New Roman" w:hAnsi="Tahoma" w:cs="Tahoma"/>
      <w:sz w:val="16"/>
      <w:szCs w:val="16"/>
    </w:rPr>
  </w:style>
  <w:style w:type="paragraph" w:styleId="Header">
    <w:name w:val="header"/>
    <w:basedOn w:val="Normal"/>
    <w:link w:val="HeaderChar"/>
    <w:uiPriority w:val="99"/>
    <w:unhideWhenUsed/>
    <w:rsid w:val="009319E7"/>
    <w:pPr>
      <w:tabs>
        <w:tab w:val="center" w:pos="4680"/>
        <w:tab w:val="right" w:pos="9360"/>
      </w:tabs>
    </w:pPr>
  </w:style>
  <w:style w:type="character" w:customStyle="1" w:styleId="HeaderChar">
    <w:name w:val="Header Char"/>
    <w:basedOn w:val="DefaultParagraphFont"/>
    <w:link w:val="Header"/>
    <w:uiPriority w:val="99"/>
    <w:rsid w:val="009319E7"/>
    <w:rPr>
      <w:rFonts w:ascii="CG Times" w:eastAsia="Times New Roman" w:hAnsi="CG Times"/>
      <w:szCs w:val="20"/>
    </w:rPr>
  </w:style>
  <w:style w:type="paragraph" w:styleId="Footer">
    <w:name w:val="footer"/>
    <w:basedOn w:val="Normal"/>
    <w:link w:val="FooterChar"/>
    <w:uiPriority w:val="99"/>
    <w:unhideWhenUsed/>
    <w:rsid w:val="009319E7"/>
    <w:pPr>
      <w:tabs>
        <w:tab w:val="center" w:pos="4680"/>
        <w:tab w:val="right" w:pos="9360"/>
      </w:tabs>
    </w:pPr>
  </w:style>
  <w:style w:type="character" w:customStyle="1" w:styleId="FooterChar">
    <w:name w:val="Footer Char"/>
    <w:basedOn w:val="DefaultParagraphFont"/>
    <w:link w:val="Footer"/>
    <w:uiPriority w:val="99"/>
    <w:rsid w:val="009319E7"/>
    <w:rPr>
      <w:rFonts w:ascii="CG Times" w:eastAsia="Times New Roman" w:hAnsi="CG 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6134">
      <w:bodyDiv w:val="1"/>
      <w:marLeft w:val="0"/>
      <w:marRight w:val="0"/>
      <w:marTop w:val="0"/>
      <w:marBottom w:val="0"/>
      <w:divBdr>
        <w:top w:val="none" w:sz="0" w:space="0" w:color="auto"/>
        <w:left w:val="none" w:sz="0" w:space="0" w:color="auto"/>
        <w:bottom w:val="none" w:sz="0" w:space="0" w:color="auto"/>
        <w:right w:val="none" w:sz="0" w:space="0" w:color="auto"/>
      </w:divBdr>
    </w:div>
    <w:div w:id="87164448">
      <w:bodyDiv w:val="1"/>
      <w:marLeft w:val="0"/>
      <w:marRight w:val="0"/>
      <w:marTop w:val="0"/>
      <w:marBottom w:val="0"/>
      <w:divBdr>
        <w:top w:val="none" w:sz="0" w:space="0" w:color="auto"/>
        <w:left w:val="none" w:sz="0" w:space="0" w:color="auto"/>
        <w:bottom w:val="none" w:sz="0" w:space="0" w:color="auto"/>
        <w:right w:val="none" w:sz="0" w:space="0" w:color="auto"/>
      </w:divBdr>
    </w:div>
    <w:div w:id="188495632">
      <w:bodyDiv w:val="1"/>
      <w:marLeft w:val="0"/>
      <w:marRight w:val="0"/>
      <w:marTop w:val="0"/>
      <w:marBottom w:val="0"/>
      <w:divBdr>
        <w:top w:val="none" w:sz="0" w:space="0" w:color="auto"/>
        <w:left w:val="none" w:sz="0" w:space="0" w:color="auto"/>
        <w:bottom w:val="none" w:sz="0" w:space="0" w:color="auto"/>
        <w:right w:val="none" w:sz="0" w:space="0" w:color="auto"/>
      </w:divBdr>
    </w:div>
    <w:div w:id="491338711">
      <w:bodyDiv w:val="1"/>
      <w:marLeft w:val="0"/>
      <w:marRight w:val="0"/>
      <w:marTop w:val="0"/>
      <w:marBottom w:val="0"/>
      <w:divBdr>
        <w:top w:val="none" w:sz="0" w:space="0" w:color="auto"/>
        <w:left w:val="none" w:sz="0" w:space="0" w:color="auto"/>
        <w:bottom w:val="none" w:sz="0" w:space="0" w:color="auto"/>
        <w:right w:val="none" w:sz="0" w:space="0" w:color="auto"/>
      </w:divBdr>
    </w:div>
    <w:div w:id="538859889">
      <w:bodyDiv w:val="1"/>
      <w:marLeft w:val="0"/>
      <w:marRight w:val="0"/>
      <w:marTop w:val="0"/>
      <w:marBottom w:val="0"/>
      <w:divBdr>
        <w:top w:val="none" w:sz="0" w:space="0" w:color="auto"/>
        <w:left w:val="none" w:sz="0" w:space="0" w:color="auto"/>
        <w:bottom w:val="none" w:sz="0" w:space="0" w:color="auto"/>
        <w:right w:val="none" w:sz="0" w:space="0" w:color="auto"/>
      </w:divBdr>
    </w:div>
    <w:div w:id="591164512">
      <w:bodyDiv w:val="1"/>
      <w:marLeft w:val="0"/>
      <w:marRight w:val="0"/>
      <w:marTop w:val="0"/>
      <w:marBottom w:val="0"/>
      <w:divBdr>
        <w:top w:val="none" w:sz="0" w:space="0" w:color="auto"/>
        <w:left w:val="none" w:sz="0" w:space="0" w:color="auto"/>
        <w:bottom w:val="none" w:sz="0" w:space="0" w:color="auto"/>
        <w:right w:val="none" w:sz="0" w:space="0" w:color="auto"/>
      </w:divBdr>
    </w:div>
    <w:div w:id="635987813">
      <w:bodyDiv w:val="1"/>
      <w:marLeft w:val="0"/>
      <w:marRight w:val="0"/>
      <w:marTop w:val="0"/>
      <w:marBottom w:val="0"/>
      <w:divBdr>
        <w:top w:val="none" w:sz="0" w:space="0" w:color="auto"/>
        <w:left w:val="none" w:sz="0" w:space="0" w:color="auto"/>
        <w:bottom w:val="none" w:sz="0" w:space="0" w:color="auto"/>
        <w:right w:val="none" w:sz="0" w:space="0" w:color="auto"/>
      </w:divBdr>
    </w:div>
    <w:div w:id="820585909">
      <w:bodyDiv w:val="1"/>
      <w:marLeft w:val="0"/>
      <w:marRight w:val="0"/>
      <w:marTop w:val="0"/>
      <w:marBottom w:val="0"/>
      <w:divBdr>
        <w:top w:val="none" w:sz="0" w:space="0" w:color="auto"/>
        <w:left w:val="none" w:sz="0" w:space="0" w:color="auto"/>
        <w:bottom w:val="none" w:sz="0" w:space="0" w:color="auto"/>
        <w:right w:val="none" w:sz="0" w:space="0" w:color="auto"/>
      </w:divBdr>
    </w:div>
    <w:div w:id="914969812">
      <w:bodyDiv w:val="1"/>
      <w:marLeft w:val="0"/>
      <w:marRight w:val="0"/>
      <w:marTop w:val="0"/>
      <w:marBottom w:val="0"/>
      <w:divBdr>
        <w:top w:val="none" w:sz="0" w:space="0" w:color="auto"/>
        <w:left w:val="none" w:sz="0" w:space="0" w:color="auto"/>
        <w:bottom w:val="none" w:sz="0" w:space="0" w:color="auto"/>
        <w:right w:val="none" w:sz="0" w:space="0" w:color="auto"/>
      </w:divBdr>
    </w:div>
    <w:div w:id="999819066">
      <w:bodyDiv w:val="1"/>
      <w:marLeft w:val="0"/>
      <w:marRight w:val="0"/>
      <w:marTop w:val="0"/>
      <w:marBottom w:val="0"/>
      <w:divBdr>
        <w:top w:val="none" w:sz="0" w:space="0" w:color="auto"/>
        <w:left w:val="none" w:sz="0" w:space="0" w:color="auto"/>
        <w:bottom w:val="none" w:sz="0" w:space="0" w:color="auto"/>
        <w:right w:val="none" w:sz="0" w:space="0" w:color="auto"/>
      </w:divBdr>
    </w:div>
    <w:div w:id="13550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macrina</dc:creator>
  <cp:lastModifiedBy>Microsoft Office User</cp:lastModifiedBy>
  <cp:revision>2</cp:revision>
  <cp:lastPrinted>2019-05-06T14:20:00Z</cp:lastPrinted>
  <dcterms:created xsi:type="dcterms:W3CDTF">2023-09-28T19:49:00Z</dcterms:created>
  <dcterms:modified xsi:type="dcterms:W3CDTF">2023-09-28T19:49:00Z</dcterms:modified>
</cp:coreProperties>
</file>